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VB.2024.00070 vom 5. Juni 2024</w:t>
      </w:r>
    </w:p>
    <w:p>
      <w:r>
        <w:t>ZH Verwaltungsgericht, 2024-06-05, DE</w:t>
      </w:r>
    </w:p>
    <w:p>
      <w:r>
        <w:rPr>
          <w:b/>
        </w:rPr>
        <w:t xml:space="preserve">Quelle: </w:t>
      </w:r>
      <w:r>
        <w:t>https://mcp.opencaselaw.ch/entscheid/zh_verwaltungsgericht__VB.2024.00070</w:t>
      </w:r>
    </w:p>
    <w:p>
      <w:r>
        <w:t>FR: ZH_VERWALTUNGSGERICHT VB.2024.00070 du 5 juin 2024</w:t>
      </w:r>
    </w:p>
    <w:p>
      <w:r>
        <w:t>IT: ZH_VERWALTUNGSGERICHT VB.2024.00070 del 5 giugno 2024</w:t>
      </w:r>
    </w:p>
    <w:p>
      <w:pPr>
        <w:pStyle w:val="Heading2"/>
      </w:pPr>
      <w:r>
        <w:t>Regeste</w:t>
      </w:r>
    </w:p>
    <w:p>
      <w:r>
        <w:t>Nichtpromotion | Die Notenfestlegung durch die Beschwerdegegnerin ist nicht rechtsverletzend (E. 3.3 f.). Für länger andauernde oder dauerhafte Belastungssituationen sowie für Behinderungen wie ADHS sind Nachteilsausgleiche zu gewähren; sie stellen keine Ausnahmesituationen im Sinn von § 13 PromotionsR dar, die ein Abweichen von den Promotionsbestimmungen rechtfertigten (E. 3.5).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1 Satz 2) und ist diesem keine Parteientschädigung zuzusprechen (vgl. § 17 Abs. 2 VRG). Der Beschwerdegegnerin ist ebenfalls keine Parteientschädigung zuzusprechen, da dem Gemeinwesen eine solche praxisgemäss nur in Ausnahmefällen, insbesondere bei ausserordentlichen Bemühungen, zusteht (vgl. VGr, 23. Juni 2022, VB.2022.00280, E. 2.3 mit Hinweis).</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22. Februar 2024, 2D_6/2023, E. 1.1 mit Hinweisen).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