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VB.2024.00061 vom 20. März 2024</w:t>
      </w:r>
    </w:p>
    <w:p>
      <w:r>
        <w:t>ZH Verwaltungsgericht, 2024-03-20, DE</w:t>
      </w:r>
    </w:p>
    <w:p>
      <w:r>
        <w:rPr>
          <w:b/>
        </w:rPr>
        <w:t xml:space="preserve">Quelle: </w:t>
      </w:r>
      <w:r>
        <w:t>https://mcp.opencaselaw.ch/entscheid/zh_verwaltungsgericht__VB.2024.00061</w:t>
      </w:r>
    </w:p>
    <w:p>
      <w:r>
        <w:t>FR: ZH_VERWALTUNGSGERICHT VB.2024.00061 du 20 mars 2024</w:t>
      </w:r>
    </w:p>
    <w:p>
      <w:r>
        <w:t>IT: ZH_VERWALTUNGSGERICHT VB.2024.00061 del 20 marzo 2024</w:t>
      </w:r>
    </w:p>
    <w:p>
      <w:pPr>
        <w:pStyle w:val="Heading2"/>
      </w:pPr>
      <w:r>
        <w:t>Regeste</w:t>
      </w:r>
    </w:p>
    <w:p>
      <w:r>
        <w:t>Verbleib in Sicherheitsabteilung | Verbleib in Sicherheitsabteilung. Der Beschwerdegegner verfügte den Verbleib des Beschwerdeführers in der Sicherheitsabteilung um längstens sechs Monate bis zum 20. März 2024. Dieses Datum ist mittlerweile verstrichen. Angesichts des Eingriffs in die persönliche Freiheit des Beschwerdeführers und da nicht bekannt ist, ob dieser weiterhin in der Sicherheitsabteilung untergebracht ist oder (bereits) in den Normalvollzug zurückversetzt wurde, ist in diesem Fall auf das Erfordernis des aktuellen Rechtsschutzinteresses zu verzichten (E 1.2.2). Den Akten kann entnommen werden, dass sich der Beschwerdeführer mitunter unberechenbar verhielt, wiederholt Drohungen äusserte, ausfällig wurde und sich der Umgang und die Vollzugsplanung mit ihm daher generell äusserst schwierig und anspruchsvoll gestalten. Indes ist zu beachten, dass Einzelhaft als Sicherheitsmassnahme gemäss Art. 78 lit. b StGB ausschliesslich zum Schutz des Gefangenen oder Dritter angeordnet werden darf und sich ohne entsprechende Gefährdung bei bloss "problematischem Vollzugsverhalten" und "Gruppenvollzugsuntauglichkeit" angesichts der schweren Einschränkung der persönlichen Freiheit der betroffenen Person in der Regel nicht rechtfertigt. Dass der Beschwerdeführer für sich selbst oder Mitinsassen eine Gefahr darstellt, ergibt sich weder aus den Akten noch machen dies die Vorinstanzen geltend. Aber auch dass eine derart akute Gefährdung des Vollzugspersonals vorliegen würde, welcher sich nur mittels Einzelhaft des Beschwerdeführers und nicht auch in einem weniger restriktiven Setting begegnen liesse, konnten die Vorinstanzen nicht überzeugend darlegen; eine vertiefte Prüfung der Verhältnismässigkeit unter diesem Blickwinkel kann ihren Entscheiden jedenfalls nicht entnommen werden (E. 4.2). Die Voraussetzungen für die Einzelhaft sind demgemäss nicht erfüllt. Zu beachten ist sodann, dass das in der Zwischenzeit erstattete Ergänzungsgutachten dem Beschwerdeführer die Verdachtsdiagnose ADHS stellt. DerBeschwerdegegner wird diese Diagnose für den weiteren Vollzug berücksichtigen und eine entsprechende Medikation des Beschwerdeführers mindestens prüfen müssen. Allenfalls kann (bereits) damit den Verhaltensauffälligkeiten des Beschwerdeführers wirkungsvoll begegnet werden (E. 4.3). Gewährung der unentgeltlichen Rechtsverbeiständung (E. 5.3). Gutheissung; Anweisung, den Beschwerdeführer aus der Einzelhaft zu entlassen.</w:t>
      </w:r>
    </w:p>
    <w:p>
      <w:pPr>
        <w:pStyle w:val="Heading2"/>
      </w:pPr>
      <w:r>
        <w:t>Erwägungen</w:t>
      </w:r>
    </w:p>
    <w:p>
      <w:r>
        <w:rPr>
          <w:b/>
        </w:rPr>
        <w:t>E. 5.1</w:t>
      </w:r>
    </w:p>
    <w:p>
      <w:r>
        <w:t>Die Beschwerde ist demzufolge gutzuheissen. Dispositivziffer I der Verfügung der Justizdirektion vom 18. Dezember 2023 und die Verfügung des Beschwerdegegners vom 20. September 2023 sind aufzuheben. In Abänderung von Dispositivziffer IV der Verfügung der Justizdirektion vom 18. Dezember 2023 sind die Kosten des Rekursverfahrens von total Fr. 610.- dem Beschwerdegegner aufzuerlegen. Sodann ist der Beschwerdegegner anzuweisen, den Beschwerdeführer – soweit nicht bereits erfolgt – aus der Einzelhaft zu entlassen.</w:t>
      </w:r>
    </w:p>
    <w:p>
      <w:r>
        <w:rPr>
          <w:b/>
        </w:rPr>
        <w:t>E. 5.2</w:t>
      </w:r>
    </w:p>
    <w:p>
      <w:r>
        <w:t>Ausgangsgemäss sind die Kosten des Beschwerdeverfahrens dem Beschwerdegegner aufzuerlegen (§ 65a Abs. 2 in Verbindung mit § 13 Abs. 2 Satz 1 VRG). Dieser ist sodann zu verpflichten dem Beschwerdeführer eine Parteientschädigung für das Beschwerdeverfahren zu bezahlen, wobei sich ein Betrag von Fr. 1'500.- (zuzüglich 8,1 % Mehrwertsteuer) als angemessen erweist (§ 17 Abs. 2 VRG). Da dem Beschwerdeführer die unentgeltliche Rechtsverbeiständung zu gewähren ist, ist die Parteientschädigung direkt seiner Rechtsvertreterin zuzusprechen und an deren Entschädigung anzurechnen (unten E. 5.3.2; Kaspar Plüss, Kommentar VRG, § 17 N. 45).</w:t>
      </w:r>
    </w:p>
    <w:p>
      <w:r>
        <w:rPr>
          <w:b/>
        </w:rPr>
        <w:t>E. 5.3</w:t>
      </w:r>
    </w:p>
    <w:p>
      <w:r>
        <w:t>Zu prüfen bleiben die Gesuche des Beschwerdeführers um Gewährung der unentgeltlichen Prozessführung und Rechtsverbeiständung für das Beschwerdeverfahren.</w:t>
      </w:r>
    </w:p>
    <w:p>
      <w:r>
        <w:rPr>
          <w:b/>
        </w:rPr>
        <w:t>E. 5.3.1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5.3.2</w:t>
      </w:r>
    </w:p>
    <w:p>
      <w:r>
        <w:t>Mangels Kostenauflage ist das Gesuch des Beschwerdeführers um Gewährung der unentgeltlichen Prozessführung als gegenstandslos geworden abzuschreiben.</w:t>
      </w:r>
    </w:p>
    <w:p>
      <w:r>
        <w:rPr>
          <w:b/>
        </w:rPr>
        <w:t>E. 5.3.3</w:t>
      </w:r>
    </w:p>
    <w:p>
      <w:r>
        <w:t>Aufgrund der Akten (vgl. S. 73 f. des Urteils des Bezirksgerichts Zürich vom 11. Mai 2022) ist von der Mittellosigkeit des Beschwerdeführers auszugehen. Da die Beschwerde gutzuheissen ist, kann sie nicht als offensichtlich aussichtslos bezeichnet werden. Die Notwendigkeit des Beizugs einer Rechtsvertreterin ist im Hinblick auf die nicht als einfach zu qualifizierenden rechtlichen Fragen und die grosse Bedeutung der Streitsache für den Beschwerdeführer ebenfalls zu bejahen. Demnach ist dem Beschwerdeführer für das verwaltungsgerichtliche Verfahren die unentgeltliche Rechtsverbeiständung zu gewähren und ihm in der Person von Rechtsanwältin B eine unentgeltliche Rechtsbeiständin zu bestellen.</w:t>
      </w:r>
    </w:p>
    <w:p>
      <w:r>
        <w:rPr>
          <w:b/>
        </w:rPr>
        <w:t>E. 5.3.4</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2016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Der in der Honorarnote ausgewiesene Zeitaufwand von 13 Stunden und 25 Minuten Stunden erweist sich als hoch, aber gerade noch angemessen. Die geltend gemachten Barauslagen von Fr. 76.70 sind nicht zu beanstanden. Zuzüglich 8,1 % Mehrwertsteuer ist Rechtsanwältin B folglich mit Fr. 3'273.70 zu entschädigen. Daran anzurechnen ist die vom Beschwerdegegner zu leistende Parteientschädigung (vorn E. 5.1).</w:t>
      </w:r>
    </w:p>
    <w:p>
      <w:r>
        <w:rPr>
          <w:b/>
        </w:rPr>
        <w:t>E. 5.4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