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VB.2024.00051 vom 14. März 2024</w:t>
      </w:r>
    </w:p>
    <w:p>
      <w:r>
        <w:t>ZH Verwaltungsgericht, 2024-03-14, DE</w:t>
      </w:r>
    </w:p>
    <w:p>
      <w:r>
        <w:rPr>
          <w:b/>
        </w:rPr>
        <w:t xml:space="preserve">Quelle: </w:t>
      </w:r>
      <w:r>
        <w:t>https://mcp.opencaselaw.ch/entscheid/zh_verwaltungsgericht__VB.2024.00051</w:t>
      </w:r>
    </w:p>
    <w:p>
      <w:r>
        <w:t>FR: ZH_VERWALTUNGSGERICHT VB.2024.00051 du 14 mars 2024</w:t>
      </w:r>
    </w:p>
    <w:p>
      <w:r>
        <w:t>IT: ZH_VERWALTUNGSGERICHT VB.2024.00051 del 14 marzo 2024</w:t>
      </w:r>
    </w:p>
    <w:p>
      <w:pPr>
        <w:pStyle w:val="Heading2"/>
      </w:pPr>
      <w:r>
        <w:t>Regeste</w:t>
      </w:r>
    </w:p>
    <w:p>
      <w:r>
        <w:t>Annulation von Fehlversuchen | [Annulation von Fehlversuchen] Die streitbetroffene Verfügung ist durch Wiedererwägung nachträglich weggefallen. Damit wird das Beschwerdeverfahren gegenstandslos (E. 2). Kostenauflage an die Beschwerdegegnerin (E. 3) Abschreibung des Verfahrens infolge Gegenstandslosigkeit.</w:t>
      </w:r>
    </w:p>
    <w:p>
      <w:pPr>
        <w:pStyle w:val="Heading2"/>
      </w:pPr>
      <w:r>
        <w:t>Erwägungen</w:t>
      </w:r>
    </w:p>
    <w:p>
      <w:r>
        <w:rPr>
          <w:b/>
        </w:rPr>
        <w:t>E. 4</w:t>
      </w:r>
    </w:p>
    <w:p>
      <w:r>
        <w:t>Zur Rechtsmittelbelehrung des nachfolgenden Verfügungsdispositivs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eigentlichen Prüfung, sondern organisatorische bzw. verfahrensrechtliche Gesichtspunkte Gegenstand des Verfahrens sind, wird dies vom Ausschlussgrund nicht erfasst und es steht die Beschwerde in öffentlich-rechtlichen Angelegenheiten nach Art. 82 ff. BGG zur Verfügung (vgl. BGr, 29. Mai 2018, 2C_1004/2017, E. 1.1; BGE 136 I 229 E. 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