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ZH_VERWALTUNGSGERICHT VB.2024.00046 vom 26. Juni 2025</w:t>
      </w:r>
    </w:p>
    <w:p>
      <w:r>
        <w:t>ZH Verwaltungsgericht, 2025-06-26, DE</w:t>
      </w:r>
    </w:p>
    <w:p>
      <w:r>
        <w:rPr>
          <w:b/>
        </w:rPr>
        <w:t xml:space="preserve">Quelle: </w:t>
      </w:r>
      <w:r>
        <w:t>https://mcp.opencaselaw.ch/entscheid/zh_verwaltungsgericht__VB.2024.00046</w:t>
      </w:r>
    </w:p>
    <w:p>
      <w:r>
        <w:t>FR: ZH_VERWALTUNGSGERICHT VB.2024.00046 du 26 juin 2025</w:t>
      </w:r>
    </w:p>
    <w:p>
      <w:r>
        <w:t>IT: ZH_VERWALTUNGSGERICHT VB.2024.00046 del 26 giugno 2025</w:t>
      </w:r>
    </w:p>
    <w:p>
      <w:pPr>
        <w:pStyle w:val="Heading2"/>
      </w:pPr>
      <w:r>
        <w:t>Regeste</w:t>
      </w:r>
    </w:p>
    <w:p>
      <w:r>
        <w:t>Verkehrsanordnung | [Versuchsweises Fahrverbot; Beschwerdelegitimation] Praktischer Nutzen der beantragten Signalverschiebung zweifelhaft aufgrund der örtlichen Gegebenheiten; praktischer Nutzen jedenfalls nicht schutzwürdig, zumal beabsichtigte Fahrtroute durch Innenhof rechtlich unzulässig (gestaltungsplanwidrig); keine Beschwerdelegitimation (E. 1). Nichteintreten.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Ausgangsgemäss sind die Gerichtskosten der Beschwerdeführerin aufzuerlegen (§ 13 Abs. 2 Satz 1 in Verbindung mit § 65a Abs. 2 VRG). Eine Parteientschädigung steht ihr mangels Obsiegens nicht zu (§ 17 Abs. 2 VRG). Bei diesem Verfahrensausgang erübrigt sich eine andere Verlegung der Kosten des Rekursverfahrens.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