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VB.2024.00043 vom 7. November 2024</w:t>
      </w:r>
    </w:p>
    <w:p>
      <w:r>
        <w:t>ZH Verwaltungsgericht, 2024-11-07, DE</w:t>
      </w:r>
    </w:p>
    <w:p>
      <w:r>
        <w:rPr>
          <w:b/>
        </w:rPr>
        <w:t xml:space="preserve">Quelle: </w:t>
      </w:r>
      <w:r>
        <w:t>https://mcp.opencaselaw.ch/entscheid/zh_verwaltungsgericht__VB.2024.00043</w:t>
      </w:r>
    </w:p>
    <w:p>
      <w:r>
        <w:t>FR: ZH_VERWALTUNGSGERICHT VB.2024.00043 du 7 novembre 2024</w:t>
      </w:r>
    </w:p>
    <w:p>
      <w:r>
        <w:t>IT: ZH_VERWALTUNGSGERICHT VB.2024.00043 del 7 novembre 2024</w:t>
      </w:r>
    </w:p>
    <w:p>
      <w:pPr>
        <w:pStyle w:val="Heading2"/>
      </w:pPr>
      <w:r>
        <w:t>Regeste</w:t>
      </w:r>
    </w:p>
    <w:p>
      <w:r>
        <w:t>Informationszugang | [Der Beschwerdeführer, ein Zeitungsredaktor, ersuchte um Einsicht in ein an einer Retraite des Regierungsrats vorgestelltes Dokument betreffend das Bevölkerungswachstum im Kanton Zürich. Der Regierungsrat wies das Einsichtsgesuch ab. Er begründete dies damit, dass die Einsicht den noch nicht abgeschlossenen Meinungsbildungsprozess des Regierungsrats beeinträchtigen würde.] Beim fraglichen Dokument handelt es sich um eine Präsentation, die dem Regierungsrat als Grundlage für eine Grundsatzdiskussion diente, die er im Rahmen eines Schwerpunktthemas an einer Klausurtagung führte (E. 3). Die Präsentation zählt nicht zu denjenigen Dokumenten, in welche die Einsicht gestützt auf die IDV verwehrt ist (E. 3.3). Zum Gesuchszeitpunkt war die Grundsatzdiskussion bereits abgeschlossen. Dass die Diskussion im Rahmen anderer Geschäfte weitergeführt wird, bedeutet nicht, dass der relevante Meinungsbildungsprozess andauert. Zudem enthält die Präsentation keine nennenswerten internen Informationen und gibt keine Auskunft über das beabsichtigte weitere Vorgehen (E. 3.4). Gutheissung.</w:t>
      </w:r>
    </w:p>
    <w:p>
      <w:pPr>
        <w:pStyle w:val="Heading2"/>
      </w:pPr>
      <w:r>
        <w:t>Erwägungen</w:t>
      </w:r>
    </w:p>
    <w:p>
      <w:r>
        <w:rPr>
          <w:b/>
        </w:rPr>
        <w:t>E. 4</w:t>
      </w:r>
    </w:p>
    <w:p>
      <w:r>
        <w:t>Gemäss dem Verfahrensausgang sind die Gerichtskosten dem unterliegenden Beschwerdegegner aufzuerlegen (§ 65a Abs. 2 in Verbindung mit § 13 Abs. 2 Satz 1 VRG). Dem Beschwerdeführer steht keine Parteientschädigung zu, da die Sache weder besonderen Aufwand noch den Beizug eines Rechtsbeistands erforderte (§ 17 Abs. 2 VRG; vgl. Kaspar Plüss, in: Alain Griffel [Hrsg.], Kommentar zum Verwaltungsrechtspflegegesetz des Kantons Zürich [VRG], 3. A., Zürich etc. 2014, § 17 N. 34 ff.). Im vorinstanzlichen Verfahren wurden keine Gebühren auferlegt, sodass die Nebenfolgen des angefochtenen Entscheids nicht zu korrigieren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