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VB.2024.00042 vom 12. April 2023</w:t>
      </w:r>
    </w:p>
    <w:p>
      <w:r>
        <w:t>ZH Verwaltungsgericht, 2023-04-12, DE</w:t>
      </w:r>
    </w:p>
    <w:p>
      <w:r>
        <w:rPr>
          <w:b/>
        </w:rPr>
        <w:t xml:space="preserve">Quelle: </w:t>
      </w:r>
      <w:r>
        <w:t>https://mcp.opencaselaw.ch/entscheid/zh_verwaltungsgericht__VB.2024.00042</w:t>
      </w:r>
    </w:p>
    <w:p>
      <w:r>
        <w:t>FR: ZH_VERWALTUNGSGERICHT VB.2024.00042 du 12 avril 2023</w:t>
      </w:r>
    </w:p>
    <w:p>
      <w:r>
        <w:t>IT: ZH_VERWALTUNGSGERICHT VB.2024.00042 del 12 aprile 2023</w:t>
      </w:r>
    </w:p>
    <w:p>
      <w:pPr>
        <w:pStyle w:val="Heading2"/>
      </w:pPr>
      <w:r>
        <w:t>Regeste</w:t>
      </w:r>
    </w:p>
    <w:p>
      <w:r>
        <w:t>Nichtverlängerung der Aufenthaltsbewilligung (Wiedererwägung) | [Nach einer rechtskräftigen Verfügung des Migrationsamts betreffend die Nichtverlängerung der Aufenthaltsbewilligung des Beschwerdeführers trat das Migrationsamt auf ein Wiedererwägungsgesuch des Beschwerdeführers nicht ein.] Mit unangefochten in Rechtskraft erwachsener Verfügung vom 12. April 2023 wies das Migrationsamt das Gesuch des Beschwerdeführers um Verlängerung der Aufenthaltsbewilligung ab, weshalb eine erneute Überprüfung nur bei einer wesentlichen Veränderung der Sach- oder Rechtslage in Betracht kommt (E. 4.1). Die nach Erlass der Verfügung vom 12. April 2023 verstärkte affektive Beziehung des Beschwerdeführers zu seinen in der Schweiz niedergelassenen Kindern führt vorliegend nicht dazu, dass das Wiedererwägungsgesuch materiell geprüft werden müsste (E. 4.3.1). Das Gleiche gilt für das damit einhergehende gesteigerte Betreuungsverhältnis und die weiteren Naturleistungen sowie Unterhaltszahlungen, zumal diese überwiegend schon im ersten Verfahren hätten vorgebracht werden müssen (E. 4.3.2). Ein tadelloses Verhalten liegt auch aktuell nicht vor (E. 4.3.3). Die weiteren Vorbringen bleiben unbelegt oder dienen unzulässigerweise dazu, im ursprünglichen Verfahren Versäumtes nachzuholen (E. 4.3.4 f.). Gutheissung UP/URB. Abweisung.</w:t>
      </w:r>
    </w:p>
    <w:p>
      <w:pPr>
        <w:pStyle w:val="Heading2"/>
      </w:pPr>
      <w:r>
        <w:t>Erwägungen</w:t>
      </w:r>
    </w:p>
    <w:p>
      <w:r>
        <w:rPr>
          <w:b/>
        </w:rPr>
        <w:t>E. 4</w:t>
      </w:r>
    </w:p>
    <w:p>
      <w:r>
        <w:t>Nach dem Gesagten ist die Beschwerde abzuweisen.</w:t>
      </w:r>
    </w:p>
    <w:p>
      <w:r>
        <w:rPr>
          <w:b/>
        </w:rPr>
        <w:t>E. 5.1</w:t>
      </w:r>
    </w:p>
    <w:p>
      <w:r>
        <w:t>Ausgangsgemäss sind die Kosten des Beschwerdeverfahrens dem Beschwerdeführer aufzuerlegen (§ 65a Abs. 2 in Verbindung mit § 13 Abs. 2 Satz 1 VRG). Eine Parteientschädigung ist ihm nicht zuzusprechen (§ 17 Abs. 2 VRG).</w:t>
      </w:r>
    </w:p>
    <w:p>
      <w:r>
        <w:rPr>
          <w:b/>
        </w:rPr>
        <w:t>E. 5.2</w:t>
      </w:r>
    </w:p>
    <w:p>
      <w:r>
        <w:t>Der Beschwerdeführer ersucht um die Gewährung der unentgeltlichen Rechtspflege für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Die Mittellosigkeit des Beschwerdeführers ist zu bejahen. Sein Begehren kann zudem gesamthaft betrachtet nicht als offensichtlich aussichtslos bezeichnet werden, und der Beizug einer Rechtsvertretung ist gerechtfertigt. Demnach ist das Gesuch um unentgeltliche Rechtspflege gutzuheissen und dem Beschwerdeführer in der Person seines Rechtsanwalts ein unentgeltlicher Rechtsbeistand zu bestellen.</w:t>
      </w:r>
    </w:p>
    <w:p>
      <w:r>
        <w:rPr>
          <w:b/>
        </w:rPr>
        <w:t>E. 5.3</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Falls berücksichtigt und Barauslagen separat entschädigt werden. Die Entschädigung beträgt nach § 3 der Verordnung über die Anwaltsgebühren vom 8. September 2010 (LS 215.3) in der Regel Fr. 220.- pro Stunde. Der Rechtsvertreter des Beschwerdeführers hat trotz zweimaliger Aufforderung durch das Gericht keine Kostennote eingereicht. Die Entschädigung des unentgeltlichen Rechtsbeistandes ist daher zu schätzen und wird auf Fr. 1'700.- festgesetzt (Barauslagen und Mehrwertsteuer inklusive).</w:t>
      </w:r>
    </w:p>
    <w:p>
      <w:r>
        <w:rPr>
          <w:b/>
        </w:rPr>
        <w:t>E. 5.4</w:t>
      </w:r>
    </w:p>
    <w:p>
      <w:r>
        <w:t>Es gilt den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 (Art. 83 lit. c Ziff. 2 und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