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VB.2024.00025 vom 14. März 2024</w:t>
      </w:r>
    </w:p>
    <w:p>
      <w:r>
        <w:t>ZH Verwaltungsgericht, 2024-03-14, DE</w:t>
      </w:r>
    </w:p>
    <w:p>
      <w:r>
        <w:rPr>
          <w:b/>
        </w:rPr>
        <w:t xml:space="preserve">Quelle: </w:t>
      </w:r>
      <w:r>
        <w:t>https://mcp.opencaselaw.ch/entscheid/zh_verwaltungsgericht__VB.2024.00025</w:t>
      </w:r>
    </w:p>
    <w:p>
      <w:r>
        <w:t>FR: ZH_VERWALTUNGSGERICHT VB.2024.00025 du 14 mars 2024</w:t>
      </w:r>
    </w:p>
    <w:p>
      <w:r>
        <w:t>IT: ZH_VERWALTUNGSGERICHT VB.2024.00025 del 14 marzo 2024</w:t>
      </w:r>
    </w:p>
    <w:p>
      <w:pPr>
        <w:pStyle w:val="Heading2"/>
      </w:pPr>
      <w:r>
        <w:t>Regeste</w:t>
      </w:r>
    </w:p>
    <w:p>
      <w:r>
        <w:t>Kostenersatz | [Die als Vikarin tätig gewesene Beschwerdeführerin verlangt Kostenersatz für ihren Rechtsverfolgungsaufwand, nachdem Schüler sich während des Unterrichts Zugang zum Youtube-Benutzerkonto verschafft und die Videos der Beschwerdeführerin gelöscht hatten.] Unabhängig davon, ob die Ausgangsverfügung sich auf das Personalgesetz oder das Haftungsgesetz stützte, standen dagegen die personalrechtlichen Rechtsmittel offen. Zuständig für die Behandlung des Rekurses war demnach nicht der Bezirksrat, sondern die Bildungsdirektion. Der bezirksrätliche Beschluss ist schon aus diesem Grund aufzuheben (E. 2). Verzicht auf eine Überweisung an die Bildungsdirektion, weil die Beschwerdegegnerin das Gesuch der Beschwerdeführerin auf falscher Rechtsgrundlage prüfte, weshalb die Angelegenheit ohnehin an die Beschwerdegegnerin zurückzuweisen ist (E. 3) Teilweise Gutheissung und Rückweisung an die Schulpflege.</w:t>
      </w:r>
    </w:p>
    <w:p>
      <w:pPr>
        <w:pStyle w:val="Heading2"/>
      </w:pPr>
      <w:r>
        <w:t>Erwägungen</w:t>
      </w:r>
    </w:p>
    <w:p>
      <w:r>
        <w:rPr>
          <w:b/>
        </w:rPr>
        <w:t>E. 4</w:t>
      </w:r>
    </w:p>
    <w:p>
      <w:r>
        <w:t>Nach dem Gesagten ist die Beschwerde im Sinn der Erwägungen teilweise gutzuheissen. Der Beschluss des Bezirksrats Usters sowie die Ausgangsverfügung sind aufzuheben und die Angelegenheit ist zur weiteren Behandlung im Sinn der Erwägungen an die Beschwerdegegnerin zurückzuweisen.</w:t>
      </w:r>
    </w:p>
    <w:p>
      <w:r>
        <w:rPr>
          <w:b/>
        </w:rPr>
        <w:t>E. 5.1</w:t>
      </w:r>
    </w:p>
    <w:p>
      <w:r>
        <w:t>Weil der Streitwert weniger als Fr. 30'000.- beträgt, sind die Gerichtskosten auf die Gerichtskasse zu nehmen (§ 65a Abs. 3 VRG).</w:t>
      </w:r>
    </w:p>
    <w:p>
      <w:r>
        <w:rPr>
          <w:b/>
        </w:rPr>
        <w:t>E. 5.2</w:t>
      </w:r>
    </w:p>
    <w:p>
      <w:r>
        <w:t>Der im vorinstanzlichen Verfahren anwaltlich vertretenen und als obsiegend zu betrachtenden Beschwerdeführerin ist für das Rekursverfahren eine Parteientschädigung von Fr. 1'500.- (inklusive Mehrwertsteuer) zuzusprechen (§ 17 Abs. 2 VRG). Für das Beschwerdeverfahren fehlt es hingegen an einem entsprechenden Antrag und ist auch nicht ersichtlich, dass der nicht anwaltlich vertretenen Beschwerdeführerin ein besonderer Aufwand entstanden wäre.</w:t>
      </w:r>
    </w:p>
    <w:p>
      <w:r>
        <w:rPr>
          <w:b/>
        </w:rPr>
        <w:t>E. 6</w:t>
      </w:r>
    </w:p>
    <w:p>
      <w:r>
        <w:t>Zur Rechtsmittelbelehrung des nachfolgenden Dispositivs ist Folgendes zu erläutern: Weil der Streitwert weniger als Fr. 15'000.- beträgt, steht die Beschwerde in öffentlich-rechtlichen Angelegenheiten gemäss Art. 82 ff. des Bundesgerichtsgesetzes vom 17. Juni 2005 (BGG, SR 173.110) nur offen, wenn sich eine Rechtsfrage von grundsätzlicher Bedeutung stellt (Art. 85 Abs. 1 lit. b und Abs. 2 BGG). Ansonsten kann subsidiäre Verfassungsbeschwerde gemäss Art. 113 ff. BGG erhoben werden. Beim vorliegenden Rückweisungsentscheid handelt es sich um einen Zwischenentscheid. Soweit damit über die Zuständigkeit des Bezirksrats Uster entschieden wurde, kann dagegen nach Art. 92 Abs. 1 BGG Beschwerde ans Bundesgericht erhoben werden; eine spätere Anfechtung mit dem Endentscheid ist ausgeschlossen (Art. 92 Abs. 2 BGG). Im Übrigen lässt sich der vorliegende Rückweisungsentscheid nach Art. 93 Abs. 1 BGG nur anfechten, wenn er einen nicht wiedergutzumachenden Nachteil bewirken kann (lit. a) oder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