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VB.2023.00746 vom 27. Juni 2024</w:t>
      </w:r>
    </w:p>
    <w:p>
      <w:r>
        <w:t>ZH Verwaltungsgericht, 2024-06-27, DE</w:t>
      </w:r>
    </w:p>
    <w:p>
      <w:r>
        <w:rPr>
          <w:b/>
        </w:rPr>
        <w:t xml:space="preserve">Quelle: </w:t>
      </w:r>
      <w:r>
        <w:t>https://mcp.opencaselaw.ch/entscheid/zh_verwaltungsgericht__VB.2023.00746</w:t>
      </w:r>
    </w:p>
    <w:p>
      <w:r>
        <w:t>FR: ZH_VERWALTUNGSGERICHT VB.2023.00746 du 27 juin 2024</w:t>
      </w:r>
    </w:p>
    <w:p>
      <w:r>
        <w:t>IT: ZH_VERWALTUNGSGERICHT VB.2023.00746 del 27 giugno 2024</w:t>
      </w:r>
    </w:p>
    <w:p>
      <w:pPr>
        <w:pStyle w:val="Heading2"/>
      </w:pPr>
      <w:r>
        <w:t>Regeste</w:t>
      </w:r>
    </w:p>
    <w:p>
      <w:r>
        <w:t>Aufenthaltsbewilligung (Wiedererwägung) | [Nach einem rechtskräftigen negativen Entscheid der Sicherheitsdirektion betreffend den Nachzug der in Russland lebenden und an Demenz erkrankten Mutter der Beschwerdeführerin in die Schweiz trat das Migrationsamt auf ein erneutes Gesuch der Beschwerdeführerin nicht ein.] Die Sicherheitsdirektion hat in ihrem rechtskräftigen Entscheid eine allfällige Demenzdiagnose bereits berücksichtigt und das Bestehen eines besonderen Abhängigkeitsverhältnisses im Sinn von Art. 8 Abs. 1 EMRK zwischen der Beschwerdeführerin und ihrer Mutter trotzdem verneint, weil die Pflege Letzterer in Russland durch Dritte sichergestellt werden könne (E. 2.3). An dieser Ausgangslage hat sich seit diesem Entscheid nichts geändert. Zahlungen nach Russland sind weiterhin möglich (E. 2.6) und die Pflege durch Drittpersonen ist weiterhin möglich und zumutbar (E. 2.7). Es besteht keine wesentliche Änderung der Sachlage. Das Migrationsamt ist zu Recht nicht auf das Wiedererwägungsgesuch der Beschwerdeführerin eingetreten (E. 2.8). Abweisung.</w:t>
      </w:r>
    </w:p>
    <w:p>
      <w:pPr>
        <w:pStyle w:val="Heading2"/>
      </w:pPr>
      <w:r>
        <w:t>Erwägungen</w:t>
      </w:r>
    </w:p>
    <w:p>
      <w:r>
        <w:rPr>
          <w:b/>
        </w:rPr>
        <w:t>E. 4</w:t>
      </w:r>
    </w:p>
    <w:p>
      <w:r>
        <w:t>Zur Rechtsmittelbelehrung des nachstehenden Dispositivs ist Folgendes zu erläutern: Soweit ein Anwesenheitsanspruch der Mutter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