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VB.2023.00691 vom 23. Januar 2025</w:t>
      </w:r>
    </w:p>
    <w:p>
      <w:r>
        <w:t>ZH Verwaltungsgericht, 2025-01-23, DE</w:t>
      </w:r>
    </w:p>
    <w:p>
      <w:r>
        <w:rPr>
          <w:b/>
        </w:rPr>
        <w:t xml:space="preserve">Quelle: </w:t>
      </w:r>
      <w:r>
        <w:t>https://mcp.opencaselaw.ch/entscheid/zh_verwaltungsgericht__VB.2023.00691</w:t>
      </w:r>
    </w:p>
    <w:p>
      <w:r>
        <w:t>FR: ZH_VERWALTUNGSGERICHT VB.2023.00691 du 23 janvier 2025</w:t>
      </w:r>
    </w:p>
    <w:p>
      <w:r>
        <w:t>IT: ZH_VERWALTUNGSGERICHT VB.2023.00691 del 23 gennaio 2025</w:t>
      </w:r>
    </w:p>
    <w:p>
      <w:pPr>
        <w:pStyle w:val="Heading2"/>
      </w:pPr>
      <w:r>
        <w:t>Regeste</w:t>
      </w:r>
    </w:p>
    <w:p>
      <w:r>
        <w:t>Verlängerung der Aufenthaltsbewilligung | [Nichtverlängerung der Aufenthaltsbewilligung einer südkoreanischen Staatsangehörigen nach einer weniger als drei Jahre dauernden Ehe in der Schweiz.] Offengelassen, ob ein nachehelicher Härtefall vorliegt (E. 2). Aufgrund der langen Aufenthaltsdauer sowie der überdurchschnittlichen Integration der Beschwerdeführerin ist der Schutzbereich des Rechts auf Achtung des Privatlebens gemäss Art. 8 Abs. 1 EMRK tangiert. Die privaten Interessen am Verbleib in der Schweiz überwiegen das öffentliche Interesse an einer Wegweisung, welches sich im Bestreben erschöpft, eine restriktive Einwanderungspolitik durchzusetzen (E. 3). Gutheissung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Kosten des Rekurs- und des Beschwerdeverfahrens dem Beschwerdegegner aufzuerlegen (§ 13 Abs. 2 Satz 1 [teilweise] in Verbindung mit § 65a Abs. 2 VRG). Desgleichen hat dieser der Beschwerdeführerin eine angemessene Parteientschädigung von Fr. 2'000.- für das Rekurs- und Fr. 1'500.- (je inklusive Mehrwertsteuer) für das Beschwerdeverfahren zu bezahlen (§ 17 Abs. 2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