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VB.2023.00682 vom 26. September 2024</w:t>
      </w:r>
    </w:p>
    <w:p>
      <w:r>
        <w:t>ZH Verwaltungsgericht, 2024-09-26, DE</w:t>
      </w:r>
    </w:p>
    <w:p>
      <w:r>
        <w:rPr>
          <w:b/>
        </w:rPr>
        <w:t xml:space="preserve">Quelle: </w:t>
      </w:r>
      <w:r>
        <w:t>https://mcp.opencaselaw.ch/entscheid/zh_verwaltungsgericht__VB.2023.00682</w:t>
      </w:r>
    </w:p>
    <w:p>
      <w:r>
        <w:t>FR: ZH_VERWALTUNGSGERICHT VB.2023.00682 du 26 septembre 2024</w:t>
      </w:r>
    </w:p>
    <w:p>
      <w:r>
        <w:t>IT: ZH_VERWALTUNGSGERICHT VB.2023.00682 del 26 settembre 2024</w:t>
      </w:r>
    </w:p>
    <w:p>
      <w:pPr>
        <w:pStyle w:val="Heading2"/>
      </w:pPr>
      <w:r>
        <w:t>Regeste</w:t>
      </w:r>
    </w:p>
    <w:p>
      <w:r>
        <w:t>Familiennachzug (Wiedererwägung) | Die vor Verwaltungsgericht eingereichten neuen Belege sind geeignet, die Beziehung zwischen den Beschwerdeführenden in einem neuen Licht erscheinen zu lassen und damit Grund für eine materielle Neubeurteilung der Frage zu bilden, ob zwischen ihnen eine Scheinehe oder eine tatsächlich gelebte Ehe besteht. Angesichts der seit der erstmaligen Gesuchsabweisung vergangenen Zeit (12 Jahre) darf eine geltend gemachte wesentliche Änderung der Umstände nach der Rechtsprechung des Bundesgerichts denn auch nicht leichthin verneint werden. Der Beschwerdegegner hätte hier zumindest dem Gesuch um Anhörung der Beschwerdeführenden stattgeben müssen. Durch die Verweigerung einer persönlichen Anhörung verletzte er das rechtliche Gehör der Beschwerdeführenden (E. 3.4). Teilweise Gutheissung und Rückweisung zur ergänzenden Sachverhaltsabklärung und zu neuem Entscheid.</w:t>
      </w:r>
    </w:p>
    <w:p>
      <w:pPr>
        <w:pStyle w:val="Heading2"/>
      </w:pPr>
      <w:r>
        <w:t>Erwägungen</w:t>
      </w:r>
    </w:p>
    <w:p>
      <w:r>
        <w:rPr>
          <w:b/>
        </w:rPr>
        <w:t>E. 4</w:t>
      </w:r>
    </w:p>
    <w:p>
      <w:r>
        <w:t>Die (Sprung-)Rückweisung zur erneuten Entscheidung bei offenem Ausgang ist in Bezug auf die Regelung der Nebenfolgen als Obsiegen zu behandeln, wenn die Rechtsmittelinstanz reformatorisch oder kassatorisch entscheiden kann (BGr, 28. April 2014, 2C_846/2013, E. 3.2 f. mit Hinweisen; Marco Donatsch, in: Alain Griffel [Hrsg.], Kommentar zum Verwaltungsrechtspflegegesetz des Kantons Zürich [VRG], 3. A., Zürich etc. 2014 , § 64 N. 5). Die Kosten des Rekurs- und des Beschwerdeverfahrens sind daher dem Beschwerdegegner aufzuerlegen (§ 65a Abs. 2 in Verbindung mit § 13 Abs. 2 Satz 1 VRG). Dieser ist zudem zu verpflichten, den Beschwerdeführenden für beide Verfahren eine Parteientschädigung von insgesamt Fr. 3'500.- (inklusive Mehrwertsteuer) zu bezahlen (§ 17 Abs. 2 VRG).</w:t>
      </w:r>
    </w:p>
    <w:p>
      <w:r>
        <w:rPr>
          <w:b/>
        </w:rPr>
        <w:t>E. 5</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(vgl. BGr, 29. August 2013, 2C_75/2013, E. 1.1 f. ). Ansonsten steht die subsidiäre Verfassungsbeschwerde gemäss Art. 113 ff. BGG offen.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