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VB.2023.00663 vom 25. Januar 2024</w:t>
      </w:r>
    </w:p>
    <w:p>
      <w:r>
        <w:t>ZH Verwaltungsgericht, 2024-01-25, DE</w:t>
      </w:r>
    </w:p>
    <w:p>
      <w:r>
        <w:rPr>
          <w:b/>
        </w:rPr>
        <w:t xml:space="preserve">Quelle: </w:t>
      </w:r>
      <w:r>
        <w:t>https://mcp.opencaselaw.ch/entscheid/zh_verwaltungsgericht__VB.2023.00663</w:t>
      </w:r>
    </w:p>
    <w:p>
      <w:r>
        <w:t>FR: ZH_VERWALTUNGSGERICHT VB.2023.00663 du 25 janvier 2024</w:t>
      </w:r>
    </w:p>
    <w:p>
      <w:r>
        <w:t>IT: ZH_VERWALTUNGSGERICHT VB.2023.00663 del 25 gennaio 2024</w:t>
      </w:r>
    </w:p>
    <w:p>
      <w:pPr>
        <w:pStyle w:val="Heading2"/>
      </w:pPr>
      <w:r>
        <w:t>Regeste</w:t>
      </w:r>
    </w:p>
    <w:p>
      <w:r>
        <w:t>Abfindung | Die Beschwerdeführerin hätte die Auflösung ihres Anstellungsverhältnisses vermeiden können, wenn sie der Ausbildungsauflage des Beschwerdegegners Folge geleistet hätte. Dass ihr dies nicht möglich oder nicht zumutbar gewesen wäre, ist weder substanziiert dargetan noch ersichtlich (E. 2.2). Sie hat damit keine Anspruch auf Abfindung (E. 2.3). Abweisung.</w:t>
      </w:r>
    </w:p>
    <w:p>
      <w:pPr>
        <w:pStyle w:val="Heading2"/>
      </w:pPr>
      <w:r>
        <w:t>Erwägungen</w:t>
      </w:r>
    </w:p>
    <w:p>
      <w:r>
        <w:rPr>
          <w:b/>
        </w:rPr>
        <w:t>E. 4</w:t>
      </w:r>
    </w:p>
    <w:p>
      <w:r>
        <w:t>Da der Streitwert weniger als Fr. 15'000.- beträgt, ist die Beschwerde in öffentlich-rechtlichen Angelegenheiten gemäss Art. 82 ff. des Bundesgerichtsgesetzes vom 17. Juni 2005 (BGG, SR 173.110) an das Bundesgericht nur zulässig, wenn sich eine Rechtsfrage von grundsätzlicher Bedeutung stellt (Art. 85 Abs. 1 lit. b in Verbindung mit Abs. 2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