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VB.2023.00656 vom 14. Juli 2022</w:t>
      </w:r>
    </w:p>
    <w:p>
      <w:r>
        <w:t>ZH Verwaltungsgericht, 2022-07-14, DE</w:t>
      </w:r>
    </w:p>
    <w:p>
      <w:r>
        <w:rPr>
          <w:b/>
        </w:rPr>
        <w:t xml:space="preserve">Quelle: </w:t>
      </w:r>
      <w:r>
        <w:t>https://mcp.opencaselaw.ch/entscheid/zh_verwaltungsgericht__VB.2023.00656</w:t>
      </w:r>
    </w:p>
    <w:p>
      <w:r>
        <w:t>FR: ZH_VERWALTUNGSGERICHT VB.2023.00656 du 14 juillet 2022</w:t>
      </w:r>
    </w:p>
    <w:p>
      <w:r>
        <w:t>IT: ZH_VERWALTUNGSGERICHT VB.2023.00656 del 14 luglio 2022</w:t>
      </w:r>
    </w:p>
    <w:p>
      <w:pPr>
        <w:pStyle w:val="Heading2"/>
      </w:pPr>
      <w:r>
        <w:t>Regeste</w:t>
      </w:r>
    </w:p>
    <w:p>
      <w:r>
        <w:t>Rückerstattung | [Der Beschwerdeführer, zum damaligen Zeitpunkt ordentlicher Professor an der Universität Zürich, liess im Jahr 2018 Anwaltshonorare, die ihm im Zusammenhang mit einer Administrativuntersuchung entstanden sind, über ein Drittmittelkonto der Universität begleichen. Nachdem die Universität davon erfahren hatte, verpflichtete sie den Beschwerdeführer zur Rückzahlung des Betrags zuzüglich Verzugszins.] Die anwendbaren Bestimmungen sehen keinen Anspruch auf Übernahme der im Rahmen einer Administrativuntersuchung entstandenen Anwaltskosten vor und die Universität hat das entsprechende Gesuch des Beschwerdeführers rechtskräftig abgewiesen. Der Beschwerdeführer war demnach als Privatperson Schuldner der Anwaltshonorare (E. 2.2). Die streitgegenständlichen Geldwerte wurden jedenfalls mit der Verbuchung auf das Drittmittelkonto zweckgebunden und durften damit nur noch für Forschungszwecke verwendet werden. Die vom Beschwerdeführer veranlasste Bezahlung von (privaten) Anwaltshonoraren war daher rechtswidrig und der Beschwerdeführer ist zur Rückerstattung verpflichtet (E. 2.3 f.). Verzugszins ist erst ab der erstmaligen Rückforderung geschuldet (E. 3). Teilweise Gutheissung.</w:t>
      </w:r>
    </w:p>
    <w:p>
      <w:pPr>
        <w:pStyle w:val="Heading2"/>
      </w:pPr>
      <w:r>
        <w:t>Erwägungen</w:t>
      </w:r>
    </w:p>
    <w:p>
      <w:r>
        <w:rPr>
          <w:b/>
        </w:rPr>
        <w:t>E. 4</w:t>
      </w:r>
    </w:p>
    <w:p>
      <w:r>
        <w:t>Die vorliegende Streitigkeit beschlägt keine personalrechtlichen Ansprüche des Beschwerdeführers, weshalb § 65a Abs. 3 VRG keine Anwendung findet. Dem in der Hauptsache unterliegenden und nur in einer untergeordneten Nebenfrage obsiegenden Beschwerdeführer sind die vollen Gerichtskosten aufzuerlegen (§ 65a Abs. 2 in Verbindung mit § 13 Abs. 2 Satz 1 VRG; vgl. VGr, 14. März 2024, VB.2023.00179, E. 8.2, und 30. November 2023, VB.2021.00279, E. 9). Eine Parteientschädigung ist ihm ausgangsgemäss nicht zuzusprechen (§ 17 Abs. 2 VRG). Der in ihrem amtlichen Wirkungskreis tätig gewordenen Beschwerdegegnerin steht praxisgemäss ebenfalls keine Parteientschädigung zu (VGr, 14. Juli 2022, VB.2021.00854,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