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VB.2023.00632 vom 3. September 2023</w:t>
      </w:r>
    </w:p>
    <w:p>
      <w:r>
        <w:t>ZH Verwaltungsgericht, 2023-09-03, DE</w:t>
      </w:r>
    </w:p>
    <w:p>
      <w:r>
        <w:rPr>
          <w:b/>
        </w:rPr>
        <w:t xml:space="preserve">Quelle: </w:t>
      </w:r>
      <w:r>
        <w:t>https://mcp.opencaselaw.ch/entscheid/zh_verwaltungsgericht__VB.2023.00632</w:t>
      </w:r>
    </w:p>
    <w:p>
      <w:r>
        <w:t>FR: ZH_VERWALTUNGSGERICHT VB.2023.00632 du 3 septembre 2023</w:t>
      </w:r>
    </w:p>
    <w:p>
      <w:r>
        <w:t>IT: ZH_VERWALTUNGSGERICHT VB.2023.00632 del 3 settembre 2023</w:t>
      </w:r>
    </w:p>
    <w:p>
      <w:pPr>
        <w:pStyle w:val="Heading2"/>
      </w:pPr>
      <w:r>
        <w:t>Regeste</w:t>
      </w:r>
    </w:p>
    <w:p>
      <w:r>
        <w:t>Abstimmung vom 3. September 2023 betreffend den Bau einer dritten Verbrennungslinie in der KVA Hagenholz (Nichteintreten) | Offengelassen, ob einer Partei in Stimmrechtssachen ein Recht auf Bestellung eines unentgeltlichen Rechtsbeistands zukommt (E. 2). Die Einreichung des Stimmrechtsrekurses des Beschwerdeführers erfolgte offensichtlich verspätet; dass ihm eine frühere Rekurserhebung nicht möglich oder nicht zumutbar gewesen wäre, ist weder dargetan noch ersichtlich. Die Vorinstanz ist somit auf den Rekurs des Beschwerdeführers zu Recht nicht eingetreten. Ohnehin ist angesichts der Grösse des Stimmenunterschieds unwahrscheinlich, dass die gerügten Mängel der Abstimmungsunterlagen das Abstimmungsergebnis entscheidend zu beeinflussen vermochten (zum Ganzen E. 3). Abweisung UP/URB. Abweisung.</w:t>
      </w:r>
    </w:p>
    <w:p>
      <w:pPr>
        <w:pStyle w:val="Heading2"/>
      </w:pPr>
      <w:r>
        <w:t>Erwägungen</w:t>
      </w:r>
    </w:p>
    <w:p>
      <w:r>
        <w:rPr>
          <w:b/>
        </w:rPr>
        <w:t>E. 4</w:t>
      </w:r>
    </w:p>
    <w:p>
      <w:r>
        <w:t>Nach dem Gesagten ist die Beschwerde abzuweisen.</w:t>
      </w:r>
    </w:p>
    <w:p>
      <w:r>
        <w:rPr>
          <w:b/>
        </w:rPr>
        <w:t>E. 5</w:t>
      </w:r>
    </w:p>
    <w:p>
      <w:r>
        <w:t>In Stimmrechtssachen werden Gerichtskosten nur erhoben, wenn das Rechtsmittel offensichtlich aussichtslos erscheint (§ 65a Abs. 2 in Verbindung mit § 13 Abs. 4 VRG). Auf Letzteres lässt sich vorliegend gerade noch nicht schliessen. Die Gerichtskosten sind daher auf die Gerichtskasse zu nehmen. Das Gesuch des Beschwerdeführers um unentgeltliche Prozessführung ist mit Blick auf die gesetzliche (Kosten-)Regelung abzuweisen. Gestützt auf § 17 Abs. 2 lit. a VRG hat das Gemeinwesen in der Regel keinen Anspruch auf eine Parteientschädigung, weil das Erheben und Beantworten von Rechtsmitteln zu den angestammten amtlichen Aufgaben gehört und die Behörden gegenüber den Privaten meist einen Wissensvorsprung aufweisen (Plüss, § 17 N. 51). Entsprechend ist dem Antrag des Beschwerdegegners um Ausrichtung einer Parteientschädigung trotz Obsiegen nicht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