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VB.2023.00620 vom 13. März 2025</w:t>
      </w:r>
    </w:p>
    <w:p>
      <w:r>
        <w:t>ZH Verwaltungsgericht, 2025-03-13, DE</w:t>
      </w:r>
    </w:p>
    <w:p>
      <w:r>
        <w:rPr>
          <w:b/>
        </w:rPr>
        <w:t xml:space="preserve">Quelle: </w:t>
      </w:r>
      <w:r>
        <w:t>https://mcp.opencaselaw.ch/entscheid/zh_verwaltungsgericht__VB.2023.00620</w:t>
      </w:r>
    </w:p>
    <w:p>
      <w:r>
        <w:t>FR: ZH_VERWALTUNGSGERICHT VB.2023.00620 du 13 mars 2025</w:t>
      </w:r>
    </w:p>
    <w:p>
      <w:r>
        <w:t>IT: ZH_VERWALTUNGSGERICHT VB.2023.00620 del 13 marzo 2025</w:t>
      </w:r>
    </w:p>
    <w:p>
      <w:pPr>
        <w:pStyle w:val="Heading2"/>
      </w:pPr>
      <w:r>
        <w:t>Regeste</w:t>
      </w:r>
    </w:p>
    <w:p>
      <w:r>
        <w:t>Baubewilligung für Mobilfunk-Antennenanlage | [Erweiterung bestehende Mobilfunkanlage im Wald] Das Bauvorhaben im gerodeten Waldgebiet liegt in einer Nichtbauzone; die Baudirektion unterliess die zwingend erforderliche Prüfung der Zonenkonformität oder einer Ausnahmebewilligung nach Art. 24 ff. RPG trotz Überweisung der Sache gänzlich, was einen schweren Mangel darstellt (E. 5). Kostenauflage an die Baudirektion; Umtriebsentschädigung zugesprochen (E. 7). Gutheissung; Rückweisung an die Baudirektion.</w:t>
      </w:r>
    </w:p>
    <w:p>
      <w:pPr>
        <w:pStyle w:val="Heading2"/>
      </w:pPr>
      <w:r>
        <w:t>Erwägungen</w:t>
      </w:r>
    </w:p>
    <w:p>
      <w:r>
        <w:rPr>
          <w:b/>
        </w:rPr>
        <w:t>E. 3</w:t>
      </w:r>
    </w:p>
    <w:p>
      <w:r>
        <w:t>Der Beschwerdeführer beantragt, das vorliegende Verfahren sei mit den Verfahren VB.2023.00042 und VB.2023.00048 zu vereinen, da er somit Kosten sparen könne. Das Verwaltungsgericht hat in den genannten Verfahren jedoch am 21. September 2023 bereits entschieden. Es besteht daher von vornherein keine Veranlassung für eine gemeinsame Behandlung.</w:t>
      </w:r>
    </w:p>
    <w:p>
      <w:r>
        <w:rPr>
          <w:b/>
        </w:rPr>
        <w:t>E. 4</w:t>
      </w:r>
    </w:p>
    <w:p>
      <w:r>
        <w:t>Das Baugrundstück Kat.-Nr. 01 liegt in der kantonalen Waldzone Wa gemäss der Bau- und Zonenordnung der Stadt Winterthur (BZO) und ist im Wesentlichen mit einem rund 130 m hohen Antennenmast überstellt, an welchem diverse Antennenmodule montiert sind. Nach den Plänen der privaten Beschwerdegegnerin sollen die bestehenden Mobilfunk-Antennenmodule durch aktuelle Module ersetzt werden, wobei ein zusätzliches Antennenmodul montiert werden soll. Das Bauvorhaben sieht sodann neue Radio Remote Units (RRU) am Mast vor. Weiter soll zusätzliches Equipment in der ebenfalls vorbestehenden Gerätekabine installiert werden. Die einzelnen Module sollen auf den Frequenzbändern 700–900, 1'400–2'600 und 3'600 MHz und in den Azimuten von 90°, 190° und 310° senden. Ein Korrekturfaktor soll nicht angewendet werden. Die Antennen sollen gemäss Standortdatenblatt nicht adaptiv betrieben werden.</w:t>
      </w:r>
    </w:p>
    <w:p>
      <w:r>
        <w:rPr>
          <w:b/>
        </w:rPr>
        <w:t>E. 5.1</w:t>
      </w:r>
    </w:p>
    <w:p>
      <w:r>
        <w:t>Der Trennung von Baugebiet und Nichtbaugebiet kommt im Raumplanungsrecht eine zentrale Bedeutung zu (Art. 75 Abs. 1 der Bundesverfassung vom 18. April 1999 [BV; SR 101]; Art. 3 Abs. 2 des Raumplanungsgesetzes vom 22. Juni 1979 [RPG; SR 700]). Der Trennungsgrundsatz geniesst Verfassungsrang (Rudolf Muggli in: Heinz Aemisegger et al. [Hrsg.], Praxiskommentar RPG: Bauen ausserhalb der Bauzone, Zürich etc. 2017, Vorbemerkungen zu den Art. 24 bis 24e und 37a N. 16) und ist bei der Bewilligung von Bauten und Anlagen einerseits hinsichtlich der anwendbaren Vorschriften, andererseits aber auch für die Zuständigkeiten bedeutsam. Gemäss Art. 25 Abs. 2 RPG entscheidet die zuständige kantonale Behörde bei allen Vorhaben ausserhalb der Bauzonen, ob sie zonenkonform sind oder ob für sie eine Ausnahmebewilligung erteilt werden kann. Bei der Bewilligung von Bauvorhaben ausserhalb der Bauzonen steht es den Kantonen nicht frei, ihre Aufgaben an die Gemeinden zu delegieren (BGE 128 I 254 E. 3.1 mit Hinweisen).</w:t>
      </w:r>
    </w:p>
    <w:p>
      <w:r>
        <w:rPr>
          <w:b/>
        </w:rPr>
        <w:t>E. 5.2</w:t>
      </w:r>
    </w:p>
    <w:p>
      <w:r>
        <w:t>Im Kanton Zürich entscheidet die örtliche Baubehörde über Baugesuche, soweit durch Verordnung nichts anderes bestimmt ist (§ 318 PBG). Gemäss Ziff. 1.2.2 und 1.3 des Anhangs zur Bauverfahrensverordnung vom 3. Dezember 1997 (BVV; LS 700.6) liegt die Zuständigkeit für Bewilligungen ausserhalb der Bauzonen (im Wald) und für forstrechtliche Bewilligungen beim kantonalen Amt für Landschaft und Natur (ALN). Diese kantonalrechtliche Zuständigkeitsordnung gilt unabhängig davon, ob die Erteilung einer raumplanungsrechtlichen Ausnahmebewilligung oder die Zonenkonformität einer ausserhalb der Bauzone geplanten Baute zu prüfen ist. Art. 25 Abs. 2 RPG verlangt ausdrücklich, dass eine kantonale Behörde über alle Vorhaben ausserhalb der Bauzone entscheidet (Bernhard Waldmann/Peter Hänni, Raumplanungsgesetz, Bern 2006, Art. 25 N. 38; vgl. bereits BGE 115 Ib 400 E. 4b). Der kantonalen Behörde obliegt folglich auch der Entscheid über die Zonenkonformität einer Baute ausserhalb der Bauzone.</w:t>
      </w:r>
    </w:p>
    <w:p>
      <w:r>
        <w:rPr>
          <w:b/>
        </w:rPr>
        <w:t>E. 5.3</w:t>
      </w:r>
    </w:p>
    <w:p>
      <w:r>
        <w:t>Welche Gebiete im bundesrechtlichen Sinn ausserhalb der Bauzone liegen und deshalb nach Art. 25 Abs. 2 RPG der Bewilligung durch eine kantonale Behörde bedürfen, bestimmt sich anhand des bundesrechtlichen Begriffs der Bauzone: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(BGE 143 II 588 E. 2.5.2). Andernfalls ist das Gebiet als Nichtbauzone zu qualifizieren, auch wenn darin gewisse standortspezifische Vorhaben (wie z. B. Materialabbau, Energiegewinnungsanlagen, touristische Anlagen) zugelassen werden (BGE 145 II 83 E. 4.1).</w:t>
      </w:r>
    </w:p>
    <w:p>
      <w:r>
        <w:rPr>
          <w:b/>
        </w:rPr>
        <w:t>E. 5.4</w:t>
      </w:r>
    </w:p>
    <w:p>
      <w:r>
        <w:t>Das streitige Bauvorhaben liegt in der kantonalen Waldzone Wa (vorne E. 4). Diese lässt keine regelmässige Bautätigkeit zu (vgl. Art. 18 Abs. 3 RPG i. V. m. Art. 5 Abs. 1, Art. 4, Art. 1 sowie Art. 12 e contrario des Waldgesetzes vom 4. Oktober 1991 [WaG; SR 921.0]), weshalb das streitbetroffene Grundstück in einer Nichtbauzone liegt (vgl. BGE 139 II 134 E. 5.2; 123 II 499 E. 3b/bb; Rudolf Muggli in: Heinz Aemisegger et al. [Hrsg.], Praxiskommentar RPG: Nutzungsplanung, Zürich etc. 2016, Art. 18 N. 45). An dieser Qualifizierung als Nichtbauzone ändert nichts, dass das entsprechende Baugrundstück bereits zulässigerweise gerodet wurde (vgl. Art. 36 Abs. 3 RPG; Heribert Rausch/Arnold Marti/Alain Griffel in: Walter Haller [Hrsg.], Umweltrecht, Zürich etc. 2004, Rz. 477). Folglich entscheidet das ALN über die Zonenkonformität des streitigen Bauvorhabens (Art. 22 Abs. 2 lit. a RPG) und – falls dieses nicht zonenkonform sein sollte – über eine mögliche Ausnahmebewilligung nach Art. 24 ff. RPG.</w:t>
      </w:r>
    </w:p>
    <w:p>
      <w:r>
        <w:rPr>
          <w:b/>
        </w:rPr>
        <w:t>E. 5.5</w:t>
      </w:r>
    </w:p>
    <w:p>
      <w:r>
        <w:t>In der Gesamtverfügung vom 17. Dezember 2021 erwog die Beschwerdegegnerin 2 jedoch nur, dass eine Unterschreitung des Waldabstands nach § 262 PBG i. V. m. Art. 17 Abs. 3 WaG zulässig sei, und hielt dies in Dispositivziffer I fest. Sie äusserte sich jedoch weder in den Erwägungen noch im Dispositiv zur Zonenkonformität des streitigen Bauvorhabens. Es finden sich auch keinerlei Erwägungen zu einer möglichen Ausnahmebewilligung nach Art. 24 ff. RPG. Der Beschwerdegegner 1 hält jedoch in der kommunalen Baubewilligung vom 27. April 2022 fest, dass das Bauvorhaben ausserhalb der Bauzone in einer kantonalen Waldzone liege. Dies erfordere eine Beurteilung durch die kantonale Stelle über die Zonenkonformität bzw. über die Dispensfähigkeit von Bauten und Anlagen ausserhalb der Bauzonen, weshalb die Sache der kantonalen Leitstelle überwiesen worden sei. Sodann geht selbst die Beschwerdegegnerin 3 (als Bauherrin) in ihren eingereichten Bauunterlagen davon aus, dass sie für das Bauvorhaben einer Ausnahmebewilligung nach Art. 24 ff. RPG bedarf, indem sie sich zu möglichen Alternativstandorten äussert. Da sich die kantonale Gesamtverfügung nicht zur Zonenkonformität des Bauvorhabens und damit einhergehend zu einer möglichen Ausnahmebewilligung äussert, leidet die erteilte Baubewilligung an einem schweren Mangel. Das Baurekursgericht äusserte sich ebenfalls nicht zur Zonenkonformität des Bauvorhabens.</w:t>
      </w:r>
    </w:p>
    <w:p>
      <w:r>
        <w:rPr>
          <w:b/>
        </w:rPr>
        <w:t>E. 6</w:t>
      </w:r>
    </w:p>
    <w:p>
      <w:r>
        <w:t>Zusammenfassend ist Dispositivziffer I des Entscheids des Baurekursgerichts vom 7. September 2023, soweit den Beschwerdeführer betreffend, aufzuheben. Da sich weder die Beschwerdegegnerin 2 noch das Baurekursgericht im Rekursverfahren zur raumplanungsrechtlichen Bewilligungsfähigkeit äusserten, ist der Sachverhalt insbesondere mit Blick auf die Standortgebundenheit nicht genügend erstellt. Es rechtfertigt sich daher, die Sache zur erneuten Beurteilung an die Baudirektion zurückzuweisen. Die erteilte kommunale Baubewilligung ist in Kombination mit der Frage der Zonenkonformität beziehungsweise im Lichte möglicher Ausnahmebewilligungen erneut zu beurteilen (vgl. Art. 25a RPG). Angesichts dieses Ergebnisses erübrigt sich eine Prüfung der weiteren Rügen und Anträge des Beschwerdeführers.</w:t>
      </w:r>
    </w:p>
    <w:p>
      <w:r>
        <w:rPr>
          <w:b/>
        </w:rPr>
        <w:t>E. 7.1</w:t>
      </w:r>
    </w:p>
    <w:p>
      <w:r>
        <w:t>Ausgangsgemäss sind die Gerichtskosten der Beschwerdegegnerin 2 aufzuerlegen, da diese den schweren Mangel der Baubewilligung zu verantworten hat (§ 65a Abs. 2 i. V. m. § 13 Abs. 2 Satz 2 VRG). Bei diesem Verfahrensausgang ist die Beschwerdegegnerin 2 zu verpflichten, dem Beschwerdeführer eine Umtriebsentschädigung für das Beschwerde- und das Rekursverfahren auszurichten (§ 17 Abs. 2 lit. a VRG). Als angemessen erscheint eine solche von insgesamt Fr. 800.-.</w:t>
      </w:r>
    </w:p>
    <w:p>
      <w:r>
        <w:rPr>
          <w:b/>
        </w:rPr>
        <w:t>E. 7.2</w:t>
      </w:r>
    </w:p>
    <w:p>
      <w:r>
        <w:t>Mit der Aufhebung des vorinstanzlichen Entscheids und der Rückweisung der Sache an die Baudirektion sind auch die Kosten des Rekursverfahrens neu zu verlegen, soweit sie den Beschwerdeführer betreffen. Da F keine Beschwerde gegen den Entscheid des Baurekursgerichts erhoben hat, gilt sie mit Blick auf das Rekursverfahren weiterhin als unterliegend. Folglich sind die Gerichtskosten in Abänderung von Dispositivziffer II des angefochtenen Entscheids je hälftig F und der Baudirektion aufzuerlegen. Unter diesen Umständen entfällt die solidarische Haftung.</w:t>
      </w:r>
    </w:p>
    <w:p>
      <w:r>
        <w:rPr>
          <w:b/>
        </w:rPr>
        <w:t>E. 8</w:t>
      </w:r>
    </w:p>
    <w:p>
      <w:r>
        <w:t>Dieser Rückweisungsentscheid stellt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