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VB.2023.00610 vom 8. April 2024</w:t>
      </w:r>
    </w:p>
    <w:p>
      <w:r>
        <w:t>ZH Verwaltungsgericht, 2024-04-08, DE</w:t>
      </w:r>
    </w:p>
    <w:p>
      <w:r>
        <w:rPr>
          <w:b/>
        </w:rPr>
        <w:t xml:space="preserve">Quelle: </w:t>
      </w:r>
      <w:r>
        <w:t>https://mcp.opencaselaw.ch/entscheid/zh_verwaltungsgericht__VB.2023.00610</w:t>
      </w:r>
    </w:p>
    <w:p>
      <w:r>
        <w:t>FR: ZH_VERWALTUNGSGERICHT VB.2023.00610 du 8 avril 2024</w:t>
      </w:r>
    </w:p>
    <w:p>
      <w:r>
        <w:t>IT: ZH_VERWALTUNGSGERICHT VB.2023.00610 del 8 aprile 2024</w:t>
      </w:r>
    </w:p>
    <w:p>
      <w:pPr>
        <w:pStyle w:val="Heading2"/>
      </w:pPr>
      <w:r>
        <w:t>Regeste</w:t>
      </w:r>
    </w:p>
    <w:p>
      <w:r>
        <w:t>Verteilung personeller und finanzieller Ressourcen | Zentralisierung der Zuständigkeit für finanzielle und personelle Belange beim Direktorium eines Universitätsinstituts Nach Rechtsprechung und Lehre haben im öffentlichen Personalrecht nur jene Dispositionen Verfügungscharakter, welche Rechte und Pflichten im Grundverhältnis betreffen, das heisst die private Rechtsstellung der Angestellten berühren. Organisatorische Massnahmen und Dienstbefehle, die nur das Betriebsverhältnis betreffen, also die Tätigkeit der betroffenen Person in deren Eigenschaft als Organ der Verwaltung, haben demgegenüber keinen Verfügungscharakter und sind nicht anfechtbar (E. 2.2). Organisatorische Beschlüsse, welche Auswirkungen auf die finanzielle Ausstattung eines Lehrstuhls haben können, betreffen das Betriebsverhältnis und haben keinen Verfügungscharakter. Die Vorinstanz hätte auf den Rekurs deshalb gar nicht eintreten dürfen (E. 2.4). Abweisung im Sinn der Erwägungen.</w:t>
      </w:r>
    </w:p>
    <w:p>
      <w:pPr>
        <w:pStyle w:val="Heading2"/>
      </w:pPr>
      <w:r>
        <w:t>Erwägungen</w:t>
      </w:r>
    </w:p>
    <w:p>
      <w:r>
        <w:rPr>
          <w:b/>
        </w:rPr>
        <w:t>E. 4</w:t>
      </w:r>
    </w:p>
    <w:p>
      <w:r>
        <w:t>Zur Rechtsmittelbelehrung des nachfolgenden Dispositivs ist Folgendes zu erläutern: Gegen Entscheide auf dem Gebiet der öffentlich-rechtlichen Arbeitsverhältnisse ist die Beschwerde in öffentlich-rechtlichen Angelegenheiten nach Art. 82 ff. des Bundesgerichtsgesetzes vom 17. Juni 2005 (BGG, SR 173.110) nur zulässig, wenn es sich um eine vermögensrechtliche Angelegenheit handelt (Art. 83 lit. g e contrario BGG). Vermögensrecht­licher Natur sind Streitigkeiten dann, wenn mit ihnen vordringlich wirtschaftliche Interessen verfolgt werden (Thomas Häberli, Basler Kommentar, 2018, Art. 83 BGG N. 171). Soweit eine vermögensrechtliche Angelegenheit bejaht wird, steht die Beschwerde in öffentlich-rechtlichen Angelegenheiten zudem nur offen, wenn der Streitwert mindestens Fr. 15'000.- beträgt oder sich eine Rechtsfrage von grundsätzlicher Bedeutung stellt (Art. 85 Abs. 1 lit. b und Abs. 2 BGG). Andernfalls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