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VB.2023.00596 vom 22. November 2023</w:t>
      </w:r>
    </w:p>
    <w:p>
      <w:r>
        <w:t>ZH Verwaltungsgericht, 2023-11-22, DE</w:t>
      </w:r>
    </w:p>
    <w:p>
      <w:r>
        <w:rPr>
          <w:b/>
        </w:rPr>
        <w:t xml:space="preserve">Quelle: </w:t>
      </w:r>
      <w:r>
        <w:t>https://mcp.opencaselaw.ch/entscheid/zh_verwaltungsgericht__VB.2023.00596</w:t>
      </w:r>
    </w:p>
    <w:p>
      <w:r>
        <w:t>FR: ZH_VERWALTUNGSGERICHT VB.2023.00596 du 22 novembre 2023</w:t>
      </w:r>
    </w:p>
    <w:p>
      <w:r>
        <w:t>IT: ZH_VERWALTUNGSGERICHT VB.2023.00596 del 22 novembre 2023</w:t>
      </w:r>
    </w:p>
    <w:p>
      <w:pPr>
        <w:pStyle w:val="Heading2"/>
      </w:pPr>
      <w:r>
        <w:t>Regeste</w:t>
      </w:r>
    </w:p>
    <w:p>
      <w:r>
        <w:t>Aufenthaltsbewilligung (Wiedererwägung) | [Wiedererwägung. Die Nichtverlängerung der Aufenthaltsbewilligung der Beschwerdeführerin und ihre Wegweisung aus der Schweiz wurden vom Bundesgericht bestätigt.] Die Beschwerdeführerin begründet ihr (erneutes) Wiedererwägungsgesuch (vgl. bereits VB.2022.00072) damit, dass ihre heute rund zehnjährige Tochter nicht mit ihr und ihrem Ehemann in den Kosovo ausgereist sei, sondern sich weiterhin in der Schweiz aufhalte und hier die Schule besuche. Die Trennnung geht jedoch auf eine bewusste Entscheidung zurück: Die Tochter lebt als Pflegekind bei ihrer volljährigen Schwester und deren Ehemann. Es kann nicht angehen, die Trennung von der Tochter selbst herbeizuführen, um sich später auf ebendiese Trennung zu berufen, um einen Aufenthaltsanspruch geltend zu machen (E. 3.1). Auch der (derzeitige) Gesundheitszustand der Beschwerdeführerin und ihrer Tochter stellt keine wesentlichen Änderungen der Sachumstände dar (E. 3.2). Abweisung.</w:t>
      </w:r>
    </w:p>
    <w:p>
      <w:pPr>
        <w:pStyle w:val="Heading2"/>
      </w:pPr>
      <w:r>
        <w:t>Erwägungen</w:t>
      </w:r>
    </w:p>
    <w:p>
      <w:r>
        <w:rPr>
          <w:b/>
        </w:rPr>
        <w:t>E. 4</w:t>
      </w:r>
    </w:p>
    <w:p>
      <w:r>
        <w:t>Nach dem Gesagten ist die Beschwerde abzuweisen.</w:t>
      </w:r>
    </w:p>
    <w:p>
      <w:r>
        <w:rPr>
          <w:b/>
        </w:rPr>
        <w:t>E. 5</w:t>
      </w:r>
    </w:p>
    <w:p>
      <w:r>
        <w:t>Ausgangsgemäss sind die Kosten der unterliegenden Beschwerdeführerin aufzuerlegen (§ 65a Abs. 2 in Verbindung mit § 13 Abs. 2 Satz 1 VRG) und steht ihr keine Parteientschädigung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