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VB.2023.00595 vom 14. Juli 2022</w:t>
      </w:r>
    </w:p>
    <w:p>
      <w:r>
        <w:t>ZH Verwaltungsgericht, 2022-07-14, DE</w:t>
      </w:r>
    </w:p>
    <w:p>
      <w:r>
        <w:rPr>
          <w:b/>
        </w:rPr>
        <w:t xml:space="preserve">Quelle: </w:t>
      </w:r>
      <w:r>
        <w:t>https://mcp.opencaselaw.ch/entscheid/zh_verwaltungsgericht__VB.2023.00595</w:t>
      </w:r>
    </w:p>
    <w:p>
      <w:r>
        <w:t>FR: ZH_VERWALTUNGSGERICHT VB.2023.00595 du 14 juillet 2022</w:t>
      </w:r>
    </w:p>
    <w:p>
      <w:r>
        <w:t>IT: ZH_VERWALTUNGSGERICHT VB.2023.00595 del 14 luglio 2022</w:t>
      </w:r>
    </w:p>
    <w:p>
      <w:pPr>
        <w:pStyle w:val="Heading2"/>
      </w:pPr>
      <w:r>
        <w:t>Regeste</w:t>
      </w:r>
    </w:p>
    <w:p>
      <w:r>
        <w:t>Covid-19-Härtefallprogramm; 3. Zuteilungsrunde (Nichteintreten) | [Die Vorinstanz trat auf den Rekurs des Beschwerdeführers wegen Fristsäumnis nicht ein.] Die Arbeitsunfähigkeit der Geschäftsführerin des Beschwerdeführers während der Rekursfrist stellt keinen Fristwiederherstellungsgrund dar (E. 2). Abweisung.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Nach dem Gesagten ist die Beschwerde abzuweisen.</w:t>
      </w:r>
    </w:p>
    <w:p>
      <w:r>
        <w:rPr>
          <w:b/>
        </w:rPr>
        <w:t>E. 5</w:t>
      </w:r>
    </w:p>
    <w:p>
      <w:r>
        <w:t>Ausgangsgemäss sind die Gerichtskosten dem Beschwerdeführer aufzuerlegen (§ 65a Abs. 2 in Verbindung mit § 13 Abs. 2 Satz 1 VRG).</w:t>
      </w:r>
    </w:p>
    <w:p>
      <w:r>
        <w:rPr>
          <w:b/>
        </w:rPr>
        <w:t>E. 6</w:t>
      </w:r>
    </w:p>
    <w:p>
      <w:r>
        <w:t>Zur Rechtsmittelbelehrung des nachfolgenden Dispositivs ist Folgendes zu erläutern: Weil es im Hintergrund um eine Subvention geht, auf die kein Anspruch besteht (VGr, 14. Juli 2022, VB.2022.00095, E. 4.2), ist die Beschwerde in öffentlich-rechtlichen Angelegenheiten gemäss Art. 82 ff. des Bundesgerichtsgesetzes vom 17. Juni 2005 (BGG, SR 173.110) unzulässig (Art. 83 lit. k BGG). Es kann deshalb nur subsidiäre Verfassungsbeschwerde gemäss Art. 113 ff. BGG erhoben werden.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