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VB.2023.00481 vom 5. Februar 2024</w:t>
      </w:r>
    </w:p>
    <w:p>
      <w:r>
        <w:t>ZH Verwaltungsgericht, 2024-02-05, DE</w:t>
      </w:r>
    </w:p>
    <w:p>
      <w:r>
        <w:rPr>
          <w:b/>
        </w:rPr>
        <w:t xml:space="preserve">Quelle: </w:t>
      </w:r>
      <w:r>
        <w:t>https://mcp.opencaselaw.ch/entscheid/zh_verwaltungsgericht__VB.2023.00481</w:t>
      </w:r>
    </w:p>
    <w:p>
      <w:r>
        <w:t>FR: ZH_VERWALTUNGSGERICHT VB.2023.00481 du 5 février 2024</w:t>
      </w:r>
    </w:p>
    <w:p>
      <w:r>
        <w:t>IT: ZH_VERWALTUNGSGERICHT VB.2023.00481 del 5 febbraio 2024</w:t>
      </w:r>
    </w:p>
    <w:p>
      <w:pPr>
        <w:pStyle w:val="Heading2"/>
      </w:pPr>
      <w:r>
        <w:t>Regeste</w:t>
      </w:r>
    </w:p>
    <w:p>
      <w:r>
        <w:t>Gebühren (Kostenauflage) | Gebühren (Kostenauflage). Beim Beschluss des Beschwerdegegners handelt es sich um einen – anfechtbaren – Zwischenentscheid im Sinn von § 19a Abs. 2 VRG in Verbindung mit Art. 93 Abs. 1 lit. a BGG. Ohne die vorgängige Bezahlung des vom Beschwerdegegner festgelegten Geldbetrags (und ohne Nachweis eines schutzwürdigen Interesses) bliebe das Einsichtsbegehren des Beschwerdeführers in der Sache unbehandelt, und könnte der Beschluss des Beschwerdegegners nicht angefochten und die Verpflichtung zur Vorauszahlung nicht überprüft werden, würde dem Beschwerdeführer bei Nichtleistung der Zugang zu amtlichen Dokumenten in der von ihm gewünschten Form verwehrt. Dementsprechend stellt auch der Beschluss des Bezirksrats einen anfechtbaren Zwischenentscheid dar (E. 1.2). Liegt ein klarer, eindeutiger und unbedingter Antrag vor, aus welchem hervorgeht, wie das Dispositiv des angefochtenen Entscheids abzuändern ist, ist - auch bei Laien - die Begründung zur Bestimmung des Antrags nicht heranzuziehen (E. 2.2). Das mit Rekurs gestellte Begehren, der Beschluss des Beschwerdegegners sei – vollumfänglich – aufzuheben, ist ein klar ausformulierter Antrag, zu dessen Bestimmung der Bezirksrat die Begründung der Rekursschrift weder heranziehen musste noch hätte heranziehen dürfen. Indem der Bezirksrat den angefochtenen Beschluss nur insofern aufhob bzw. abänderte, als er die Vorauszahlungsverpflichtung des Beschwerdeführers reduzierte, hiess er den Rekurs nur teilweise gut und durfte er folglich die Kosten des Rekursverfahrens teilweise dem Beschwerdeführer auferlegen; materiell ist der Rekursentscheid vorliegend nicht zu beurteilen (E. 2.3). Abweisung.</w:t>
      </w:r>
    </w:p>
    <w:p>
      <w:pPr>
        <w:pStyle w:val="Heading2"/>
      </w:pPr>
      <w:r>
        <w:t>Erwägungen</w:t>
      </w:r>
    </w:p>
    <w:p>
      <w:r>
        <w:rPr>
          <w:b/>
        </w:rPr>
        <w:t>E. 3</w:t>
      </w:r>
    </w:p>
    <w:p>
      <w:r>
        <w:t>Nach dem Gesagten ist die Beschwerde abzuweisen. Ausgangsgemäss sind die Gerichtskosten dem Beschwerdeführer aufzuerlegen (§ 65a Abs. 2 in Verbindung mit § 13 Abs. 2 VRG). Eine Parteientschädigung hat er nicht beantragt und stünde ihm mangels Obsiegens auch nicht zu (§ 17 Abs. 2 VRG).</w:t>
      </w:r>
    </w:p>
    <w:p>
      <w:r>
        <w:rPr>
          <w:b/>
        </w:rPr>
        <w:t>E. 4</w:t>
      </w:r>
    </w:p>
    <w:p>
      <w:r>
        <w:t>Beim vorliegenden Urteil handelt es sich (ebenfalls) um einen Zwischenentscheid (Bertschi, § 19a N. 32; vorn E. 1.2), der gemäss Art. 93 Abs. 1 BGG vor Bundesgericht nur dann mit Beschwerde in öffentlich-rechtlichen Angelegenheiten (Art. 82 ff. BGG) anfechtbar ist, wenn er einen nicht wiedergutzumachenden Nachteil bewirken könnte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