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VB.2023.00472 vom 27. Juli 2023</w:t>
      </w:r>
    </w:p>
    <w:p>
      <w:r>
        <w:t>ZH Verwaltungsgericht, 2023-07-27, DE</w:t>
      </w:r>
    </w:p>
    <w:p>
      <w:r>
        <w:rPr>
          <w:b/>
        </w:rPr>
        <w:t xml:space="preserve">Quelle: </w:t>
      </w:r>
      <w:r>
        <w:t>https://mcp.opencaselaw.ch/entscheid/zh_verwaltungsgericht__VB.2023.00472</w:t>
      </w:r>
    </w:p>
    <w:p>
      <w:r>
        <w:t>FR: ZH_VERWALTUNGSGERICHT VB.2023.00472 du 27 juillet 2023</w:t>
      </w:r>
    </w:p>
    <w:p>
      <w:r>
        <w:t>IT: ZH_VERWALTUNGSGERICHT VB.2023.00472 del 27 luglio 2023</w:t>
      </w:r>
    </w:p>
    <w:p>
      <w:pPr>
        <w:pStyle w:val="Heading2"/>
      </w:pPr>
      <w:r>
        <w:t>Regeste</w:t>
      </w:r>
    </w:p>
    <w:p>
      <w:r>
        <w:t>Gestaltungsplan Wiederaufnahme von VB.2019.584 und VB.2019.593 | Gestaltungsplan (Wiederaufnahme von VB.2019.584 und VB.2019.593 nach Urteil 1C_58/2021 des Bundesgerichts vom 27. Juli 2023). Das Verwaltungsgericht könnte das vom Bundesgericht verlangte Gutachten der ENHK selber einholen und danach die Vereinbarkeit der im Gestaltungsplan neu geplanten Baubereiche mit dem ISOS überprüfen. Da vorliegend der Sachverhalt ungenügend festgestellt wurde, ist es jedoch angezeigt, die Sache (praxisgemäss) unmittelbar an die Stadt Uster zurückzuweisen (E. 2.2). In einer Gesamtbetrachtung erscheint keine der Parteien als überwiegend obsiegend bzw. unterliegend. Es rechtfertigt sich daher, sowohl die Kosten des Rekursverfahrens als auch die Kosten des Beschwerdeverfahrens den Beschwerdeführenden 1 und 2 und den Beschwerdegegnerinnen 1 und 2 je zu einem Viertel aufzuerlegen. Dementsprechend sind weder für das Rekursverfahren noch für das Beschwerdeverfahren Parteientschädigungen zuzusprechen (E. 2.4). Teilweise Gutheissung. Aufhebung der vorinstanzlichen Entscheide im Sinn der Erwägungen und Rückweisung der Sache zur Fortsetzung des Verfahrens an die Stadt Uster.</w:t>
      </w:r>
    </w:p>
    <w:p>
      <w:pPr>
        <w:pStyle w:val="Heading2"/>
      </w:pPr>
      <w:r>
        <w:t>Erwägungen</w:t>
      </w:r>
    </w:p>
    <w:p>
      <w:r>
        <w:rPr>
          <w:b/>
        </w:rPr>
        <w:t>E. 3</w:t>
      </w:r>
    </w:p>
    <w:p>
      <w:r>
        <w:t>Das vorliegende Urteil ist ein Zwischenentscheid im Sinn von Art. 93 Abs. 1 des Bundesgerichtsgesetzes vom 17. Juni 2005 (BGG, SR. 173.110) und nur unter dessen einschränkenden Voraussetzungen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