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VB.2023.00457 vom 13. September 2023</w:t>
      </w:r>
    </w:p>
    <w:p>
      <w:r>
        <w:t>ZH Verwaltungsgericht, 2023-09-13, DE</w:t>
      </w:r>
    </w:p>
    <w:p>
      <w:r>
        <w:rPr>
          <w:b/>
        </w:rPr>
        <w:t xml:space="preserve">Quelle: </w:t>
      </w:r>
      <w:r>
        <w:t>https://mcp.opencaselaw.ch/entscheid/zh_verwaltungsgericht__VB.2023.00457</w:t>
      </w:r>
    </w:p>
    <w:p>
      <w:r>
        <w:t>FR: ZH_VERWALTUNGSGERICHT VB.2023.00457 du 13 septembre 2023</w:t>
      </w:r>
    </w:p>
    <w:p>
      <w:r>
        <w:t>IT: ZH_VERWALTUNGSGERICHT VB.2023.00457 del 13 settembre 2023</w:t>
      </w:r>
    </w:p>
    <w:p>
      <w:pPr>
        <w:pStyle w:val="Heading2"/>
      </w:pPr>
      <w:r>
        <w:t>Regeste</w:t>
      </w:r>
    </w:p>
    <w:p>
      <w:r>
        <w:t>Schulzuteilung | [Die Beschwerdeführenden beanstanden die Zuteilung ihrer Tochter zu einem Sekundarschulhaus und beantragen die Zuteilung zu einem anderen Sekundarschulhaus.] Der Schulweg ist der Tochter der Beschwerdeführenden ohne Weiteres zumutbar. Der Wunsch einer Schülerin, mit ihren bisherigen Schulkameradinnen und Schulkameraden weiterhin zur Schule gehen zu können ist kein massgebliches Kriterium. Es ist nicht zu beanstanden, dass die Schule diesem Wunsch nicht entsprach (E. 3.4). Abweisung.</w:t>
      </w:r>
    </w:p>
    <w:p>
      <w:pPr>
        <w:pStyle w:val="Heading2"/>
      </w:pPr>
      <w:r>
        <w:t>Erwägungen</w:t>
      </w:r>
    </w:p>
    <w:p>
      <w:r>
        <w:rPr>
          <w:b/>
        </w:rPr>
        <w:t>E. 4</w:t>
      </w:r>
    </w:p>
    <w:p>
      <w:r>
        <w:t>Nach dem Gesagten ist die Beschwerde abzuweisen.</w:t>
      </w:r>
    </w:p>
    <w:p>
      <w:r>
        <w:rPr>
          <w:b/>
        </w:rPr>
        <w:t>E. 5</w:t>
      </w:r>
    </w:p>
    <w:p>
      <w:r>
        <w:t>Ausgangsgemäss sind die Gerichtskosten den Beschwerdeführenden unter solidarischer Haftung aufzuerlegen ( § 65a Abs. 2 in Verbindung mit § 13 Abs. 2 Satz 1 und § 14 VRG; Kaspar Plüss, Kommentar VRG, § 14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