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VB.2023.00436 vom 16. August 2023</w:t>
      </w:r>
    </w:p>
    <w:p>
      <w:r>
        <w:t>ZH Verwaltungsgericht, 2023-08-16, DE</w:t>
      </w:r>
    </w:p>
    <w:p>
      <w:r>
        <w:rPr>
          <w:b/>
        </w:rPr>
        <w:t xml:space="preserve">Quelle: </w:t>
      </w:r>
      <w:r>
        <w:t>https://mcp.opencaselaw.ch/entscheid/zh_verwaltungsgericht__VB.2023.00436</w:t>
      </w:r>
    </w:p>
    <w:p>
      <w:r>
        <w:t>FR: ZH_VERWALTUNGSGERICHT VB.2023.00436 du 16 août 2023</w:t>
      </w:r>
    </w:p>
    <w:p>
      <w:r>
        <w:t>IT: ZH_VERWALTUNGSGERICHT VB.2023.00436 del 16 agosto 2023</w:t>
      </w:r>
    </w:p>
    <w:p>
      <w:pPr>
        <w:pStyle w:val="Heading2"/>
      </w:pPr>
      <w:r>
        <w:t>Regeste</w:t>
      </w:r>
    </w:p>
    <w:p>
      <w:r>
        <w:t>Schulzuteilung (aufschiebende Wirkung) | Zwischenentscheide über die (Nicht-)Wiederherstellung der aufschiebenden Wirkung können nur dann angefochten werden, wenn sie einen nicht wiedergutzumachenden Nachteil bewirken können (E.1.2.1). Mit dem streitgegenständlichen Antrag auf Wiederherstellung der (entzogenen) aufschiebenden Wirkung des Rekurses zielen die Beschwerdeführenden nach eigenen Angaben darauf ab, wenigstens vorläufig abzuwenden, dass der Beschwerdeführer 1 aus seinem angestammten Umfeld in einer Privatschule herausgerissen werde. Um dieses Ziel erreichen zu können, hilft ihnen die Wiederherstellung der aufschiebenden Wirkung des Rekurses (allein) jedoch nicht weiter, führte selbige doch nur dazu, dass im Fall des Beschwerdeführers 1 eine Schulzuteilung für die Volksschule für das Schuljahr 2023/2024 gänzlich fehlte (E. 1.2.2). Durch die sinngemässe Abweisung ihres Antrags um Übernahme der Kosten für die Schulung des Beschwerdeführers 1 in besagter Privatschule erlitten die Beschwerdeführenden sodann ebenfalls keinen nicht wiedergutzumachenden Nachteil (E. 1.2.3). Nichteintreten.</w:t>
      </w:r>
    </w:p>
    <w:p>
      <w:pPr>
        <w:pStyle w:val="Heading2"/>
      </w:pPr>
      <w:r>
        <w:t>Erwägungen</w:t>
      </w:r>
    </w:p>
    <w:p>
      <w:r>
        <w:rPr>
          <w:b/>
        </w:rPr>
        <w:t>E. 4</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BGG). Nicht von Art. 83 lit. t BGG erfasst werden demgegenüber Streitigkeiten aus dem Bereich von Ausbildung und Schule, die in keinem unmittelbaren Zusammenhang mit einer Fähigkeitsbewertung stehen. Davon ist vorliegend auszugehen, weshalb den Parteien die Beschwerde in öffentlich-rechtlichen Angelegenheiten gemäss Art. 82 ff. BGG offensteht. Da der vorinstanzliche Beschluss vom 20. Juli 2023 einen Zwischenentscheid darstellt, ist das vorliegende Urteil ebenfalls ein solcher (Bertschi, § 19a N. 32).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