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VB.2023.00391 vom 31. März 2021</w:t>
      </w:r>
    </w:p>
    <w:p>
      <w:r>
        <w:t>ZH Verwaltungsgericht, 2021-03-31, DE</w:t>
      </w:r>
    </w:p>
    <w:p>
      <w:r>
        <w:rPr>
          <w:b/>
        </w:rPr>
        <w:t xml:space="preserve">Quelle: </w:t>
      </w:r>
      <w:r>
        <w:t>https://mcp.opencaselaw.ch/entscheid/zh_verwaltungsgericht__VB.2023.00391</w:t>
      </w:r>
    </w:p>
    <w:p>
      <w:r>
        <w:t>FR: ZH_VERWALTUNGSGERICHT VB.2023.00391 du 31 mars 2021</w:t>
      </w:r>
    </w:p>
    <w:p>
      <w:r>
        <w:t>IT: ZH_VERWALTUNGSGERICHT VB.2023.00391 del 31 marzo 2021</w:t>
      </w:r>
    </w:p>
    <w:p>
      <w:pPr>
        <w:pStyle w:val="Heading2"/>
      </w:pPr>
      <w:r>
        <w:t>Regeste</w:t>
      </w:r>
    </w:p>
    <w:p>
      <w:r>
        <w:t>Abweisung und Sperre vom Studium | Die Vorinstanz trat zu Recht nicht auf den von einem Rechtsanwalt eingereichten Rekurs ein, da die Rekurseingabe lediglich eine elektronische Signatur und die Kopie einer Unterschrift trug und die formalen Anforderungen von § 22 Abs. 1 VRG damit nicht erfüllt waren. Die fehlende eigenhändige Unterschrift war vorliegend nicht auf ein Versehen oder auf Unbeholfenheit zurückzuführen, zumal der betreffende Rechtsanwalt mehrfach auf die formalen Anforderungen hingewiesen und ihm ein sofortiges Nichteintreten auf eine weitere nicht eigenhändig unterzeichnete Rekurseingabe ausdrücklich angedroht worden war (E. 2.1 ff.) Als Vertretene hatte sich die Beschwerdeführerin die Versäumnisse ihres Vertreters so lange zurechnen zu lassen, als sie sich von diesem vertreten liess (E. 2.4). Durch sein prozessuales Verhalten hat der damalige Rechtsanwalt der Beschwerdeführerin in grober Weise gegen seine anwaltliche Sorgfaltspflicht verstossen. Deshalb sind die Rekurskosten ihm aufzuerlegen (E. 3). Teilweise Gutheissung.</w:t>
      </w:r>
    </w:p>
    <w:p>
      <w:pPr>
        <w:pStyle w:val="Heading2"/>
      </w:pPr>
      <w:r>
        <w:t>Erwägungen</w:t>
      </w:r>
    </w:p>
    <w:p>
      <w:r>
        <w:rPr>
          <w:b/>
        </w:rPr>
        <w:t>E. 4</w:t>
      </w:r>
    </w:p>
    <w:p>
      <w:r>
        <w:t>Nach dem Gesagten ist die Beschwerde teilweise gutzuheissen und sind die Rekurskosten in Abänderung von Dispositiv-Ziff. III der Präsidialverfügung vom 15. Juni 2023 Rechtsanwalt B aufzuerlegen. Im Übrigen ist die Beschwerde abzuweisen.</w:t>
      </w:r>
    </w:p>
    <w:p>
      <w:r>
        <w:rPr>
          <w:b/>
        </w:rPr>
        <w:t>E. 5</w:t>
      </w:r>
    </w:p>
    <w:p>
      <w:r>
        <w:t>Ausgangsgemäss sind die Gerichtskosten der Beschwerdeführerin aufzuerlegen (§ 65a Abs. 2 in Verbindung mit § 13 Abs. 2 Satz 1 VRG).</w:t>
      </w:r>
    </w:p>
    <w:p>
      <w:r>
        <w:rPr>
          <w:b/>
        </w:rPr>
        <w:t>E. 6</w:t>
      </w:r>
    </w:p>
    <w:p>
      <w:r>
        <w:t>Zur Rechtsmittelbelehrung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