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VB.2023.00390 vom 25. Oktober 2022</w:t>
      </w:r>
    </w:p>
    <w:p>
      <w:r>
        <w:t>ZH Verwaltungsgericht, 2022-10-25, DE</w:t>
      </w:r>
    </w:p>
    <w:p>
      <w:r>
        <w:rPr>
          <w:b/>
        </w:rPr>
        <w:t xml:space="preserve">Quelle: </w:t>
      </w:r>
      <w:r>
        <w:t>https://mcp.opencaselaw.ch/entscheid/zh_verwaltungsgericht__VB.2023.00390</w:t>
      </w:r>
    </w:p>
    <w:p>
      <w:r>
        <w:t>FR: ZH_VERWALTUNGSGERICHT VB.2023.00390 du 25 octobre 2022</w:t>
      </w:r>
    </w:p>
    <w:p>
      <w:r>
        <w:t>IT: ZH_VERWALTUNGSGERICHT VB.2023.00390 del 25 ottobre 2022</w:t>
      </w:r>
    </w:p>
    <w:p>
      <w:pPr>
        <w:pStyle w:val="Heading2"/>
      </w:pPr>
      <w:r>
        <w:t>Regeste</w:t>
      </w:r>
    </w:p>
    <w:p>
      <w:r>
        <w:t>Unterbringungsplätze für Flüchtlinge | Die Beschwerde richtet sich gegen einen selbständig eröffneten Zwischenentscheid der Vorinstanz, womit diese auf das Gesuch nicht eintrat, der Beschwerdegegner sei im Sinn einer vorsorglichen Massnahme zur Wahrung der aufschiebenden Wirkung des Rekurses anzuhalten. Gegen den betreffenden Entscheid liesse sich nur Beschwerde führen, wenn er einen nicht wiedergutzumachenden Nachteil bewirken könnte. Solches ist indes weder dargetan noch ersichtlich, kommt dem beschwerdeführerischen Stimmrechtsrekurs doch von Gesetzes wegen aufschiebende Wirkung zu, und ist dem Beschwerdegegner schon deshalb untersagt, Handlungen vorzunehmen, die einen vollstreckbaren Kreditbeschluss voraussetzen (zum Ganzen E. 2). Nichteintreten.</w:t>
      </w:r>
    </w:p>
    <w:p>
      <w:pPr>
        <w:pStyle w:val="Heading2"/>
      </w:pPr>
      <w:r>
        <w:t>Erwägungen</w:t>
      </w:r>
    </w:p>
    <w:p>
      <w:r>
        <w:rPr>
          <w:b/>
        </w:rPr>
        <w:t>E. 4</w:t>
      </w:r>
    </w:p>
    <w:p>
      <w:r>
        <w:t>Zur Rechtsmittelbelehrung im nachstehenden Urteilsdispositiv ist Folgendes zu erläutern: Da der angefochtene Entscheid der Vorinstanz einen Zwischenentscheid darstellt, ist der vorliegende dazu seinerseits ein solcher; das Bundesgericht lässt sich deshalb im Sinn des Art. 93 Abs. 1 lit. a BGG nur anrufen, wenn ein nicht wiedergutzumachender Nachteil drohte (vgl. VGr, 25. Oktober 2022, VB.2022.00637,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