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VB.2023.00370 vom 30. Mai 2024</w:t>
      </w:r>
    </w:p>
    <w:p>
      <w:r>
        <w:t>ZH Verwaltungsgericht, 2024-05-30, DE</w:t>
      </w:r>
    </w:p>
    <w:p>
      <w:r>
        <w:rPr>
          <w:b/>
        </w:rPr>
        <w:t xml:space="preserve">Quelle: </w:t>
      </w:r>
      <w:r>
        <w:t>https://mcp.opencaselaw.ch/entscheid/zh_verwaltungsgericht__VB.2023.00370</w:t>
      </w:r>
    </w:p>
    <w:p>
      <w:r>
        <w:t>FR: ZH_VERWALTUNGSGERICHT VB.2023.00370 du 30 mai 2024</w:t>
      </w:r>
    </w:p>
    <w:p>
      <w:r>
        <w:t>IT: ZH_VERWALTUNGSGERICHT VB.2023.00370 del 30 maggio 2024</w:t>
      </w:r>
    </w:p>
    <w:p>
      <w:pPr>
        <w:pStyle w:val="Heading2"/>
      </w:pPr>
      <w:r>
        <w:t>Regeste</w:t>
      </w:r>
    </w:p>
    <w:p>
      <w:r>
        <w:t>Einbindung in Nächst-Best-Rettungsmittel-Disposition | Einbindung in Nächst-Best-Rettungsmittel-Disposition. Qualifikation des angefochtenen Entscheids als Endentscheid (E. 1.2). Der Streitgegenstand des Beschwerdeverfahrens ist auf die Frage beschränkt, ob die von der Vorinstanz bestätigte Feststellung des Beschwerdegegners, wonach die Beschwerdeführerin die Voraussetzungen für die Anbindung an die SRZ/ELZ (Schutz und Rettung Zürich/Einsatzleitzentrale) und zum Aufgebot gemäss dem "Nächst-Best-Prinzip" derzeit nicht erfüllt, rechtmässig ist (E. 1.3). Gemäss § 7 Abs. 1 RWV disponiert die ELZ bei Rettungseinsätzen der Kategorie A und – sofern die Patientin oder der Patient vital gefährdet ist – der Kategorie B sowie bei Luftrettungseinsätzen stets das bestmögliche Einsatzmittel unabhängig von der Gebietszuständigkeit ("Nächst-Best-Prinzip"; E. 2.2.2). Gemäss den Vorinstanzen ist bei Einsätzen nach § 7 Abs. 1 und 2 RWV ein Leistungsauftrag mit einer Zürcher Gemeinde erforderlich, damit ein Rettungsdienst an die ELZ angebunden und von ihr zu Einsätzen aufgeboten werden kann (E. 2.4). Damit wären private Rettungsdienste trotz Zürcher Betriebsbewilligung von der Erbringung von Rettungsdienstleistungen – mit Ausnahme von Grossereignissen – faktisch ausgeschlossen. Dieser faktische Ausschluss tritt in ein Spannungsverhältnis mit der gesetzlichen Regelung, nach der auch private Anbieter ohne Leistungsauftrag einen Anspruch auf Erteilung der kantonalen Betriebsbewilligung haben, soweit sie die einschlägigen Bewilligungsvoraussetzungen erfüllen. Die Pflicht zur Gewährleistung des Krankentransport- und Rettungswesens obliegt indes nicht dem Kanton, sondern den Gemeinden, welche diese Aufgabe selbst oder mittels Übertragung an Dritte wahrnehmen können (E. 2.5). Der Ausschluss privater Rettungsdienste mit kantonaler Betriebsbewilligung aber ohne kommunalen Leistungsauftrag aus der Disposition nach dem "Nächst-Best-Prinzip" gemäss § 7 Abs. 1 RWV ergibt sich systemimmanent aus der diesbezüglichen Kompetenzordnung im GesG, ist durchein hinreichendes öffentliches Interesse gerechtfertigt und verhältnismässig. Ein diesbezüglicher Eingriff in die Wirtschaftsfreiheit erscheint damit gerechtfertigt (E. 2.6 ff.). Abweisung, soweit Eintreten.</w:t>
      </w:r>
    </w:p>
    <w:p>
      <w:pPr>
        <w:pStyle w:val="Heading2"/>
      </w:pPr>
      <w:r>
        <w:t>Erwägungen</w:t>
      </w:r>
    </w:p>
    <w:p>
      <w:r>
        <w:rPr>
          <w:b/>
        </w:rPr>
        <w:t>E. 3</w:t>
      </w:r>
    </w:p>
    <w:p>
      <w:r>
        <w:t>Nach dem Gesagten ist die Beschwerde unbegründet und abzuweisen, soweit darauf einzutreten ist. Die Gerichtskosten hat die unterliegende Beschwerdeführerin zu tragen (§ 65a Abs. 2 in Verbindung mit § 13 Abs. 2 VRG). Ausgangsgemäss steht ihr keine Parteientschädigung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