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VB.2023.00357 vom 28. September 2023</w:t>
      </w:r>
    </w:p>
    <w:p>
      <w:r>
        <w:t>ZH Verwaltungsgericht, 2023-09-28, DE</w:t>
      </w:r>
    </w:p>
    <w:p>
      <w:r>
        <w:rPr>
          <w:b/>
        </w:rPr>
        <w:t xml:space="preserve">Quelle: </w:t>
      </w:r>
      <w:r>
        <w:t>https://mcp.opencaselaw.ch/entscheid/zh_verwaltungsgericht__VB.2023.00357</w:t>
      </w:r>
    </w:p>
    <w:p>
      <w:r>
        <w:t>FR: ZH_VERWALTUNGSGERICHT VB.2023.00357 du 28 septembre 2023</w:t>
      </w:r>
    </w:p>
    <w:p>
      <w:r>
        <w:t>IT: ZH_VERWALTUNGSGERICHT VB.2023.00357 del 28 settembre 2023</w:t>
      </w:r>
    </w:p>
    <w:p>
      <w:pPr>
        <w:pStyle w:val="Heading2"/>
      </w:pPr>
      <w:r>
        <w:t>Regeste</w:t>
      </w:r>
    </w:p>
    <w:p>
      <w:r>
        <w:t>Nichtverlängerung der Aufenthaltsbewilligung | [Nichtverlängerung der Aufenthaltsbewilligung einer heute 49-jährigen Brasilianerin, die vor rund vier Jahren mit ihrer damals minderjährigen Schweizer Tochter in die Schweiz eingereist war.] Die Beschwerdeführerin kann aus Art. 8 EMRK keinen Anspruch auf Verlängerunng ihrer Aufenthaltsbewilligung (mehr) ableiten (E. 2). Der Entscheid der Vorinstanz, die Aufenthaltsbewilligung der Beschwerdeführerin im Rahmen des pflichtgemässen Ermessens nicht zu verlängern, ist rechtswidrig. Insbesondere mass sie der Beziehung zwischen der Beschwerdeführerin und ihrer Schweizer Tochter (die hier als Volleyballtalent gefördert wird) zu wenig Gewicht zu. Ebenso gewichtete die Vorinstanz die sehr gute Integration der Beschwerdeführerin zu wenig (zum Ganzen E. 3). Gutheissung.</w:t>
      </w:r>
    </w:p>
    <w:p>
      <w:pPr>
        <w:pStyle w:val="Heading2"/>
      </w:pPr>
      <w:r>
        <w:t>Erwägungen</w:t>
      </w:r>
    </w:p>
    <w:p>
      <w:r>
        <w:rPr>
          <w:b/>
        </w:rPr>
        <w:t>E. 4</w:t>
      </w:r>
    </w:p>
    <w:p>
      <w:r>
        <w:t>Ausgangsgemäss sind die Kosten des Rekurs- und des Beschwerdeverfahrens dem Beschwerdegegner aufzuerlegen (§ 65a in Verbindung mit § 13 Abs. 2 Satz 1 VRG) und ist der Beschwerdeführerin antragsgemäss für beide Verfahren eine Parteientschädigung von insgesamt Fr. 3'500.- (inkl. Mwst.) zuzusprechen (§ 17 Abs. 2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