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VB.2023.00348 vom 14. März 2024</w:t>
      </w:r>
    </w:p>
    <w:p>
      <w:r>
        <w:t>ZH Verwaltungsgericht, 2024-03-14, DE</w:t>
      </w:r>
    </w:p>
    <w:p>
      <w:r>
        <w:rPr>
          <w:b/>
        </w:rPr>
        <w:t xml:space="preserve">Quelle: </w:t>
      </w:r>
      <w:r>
        <w:t>https://mcp.opencaselaw.ch/entscheid/zh_verwaltungsgericht__VB.2023.00348</w:t>
      </w:r>
    </w:p>
    <w:p>
      <w:r>
        <w:t>FR: ZH_VERWALTUNGSGERICHT VB.2023.00348 du 14 mars 2024</w:t>
      </w:r>
    </w:p>
    <w:p>
      <w:r>
        <w:t>IT: ZH_VERWALTUNGSGERICHT VB.2023.00348 del 14 marzo 2024</w:t>
      </w:r>
    </w:p>
    <w:p>
      <w:pPr>
        <w:pStyle w:val="Heading2"/>
      </w:pPr>
      <w:r>
        <w:t>Regeste</w:t>
      </w:r>
    </w:p>
    <w:p>
      <w:r>
        <w:t>Zulassung als DaZ-Lehrperson | [Unbefristete Zulassung als DaZ-Lehrperson trotz fehlendem Lehrdiplom.] Gemäss § 29a Abs. 1 VSM benötigen Lehrpersonen, die Aufnahmeunterricht erteilen, an Aufnahmeklassen oder an Aufnahmeklassen Asyl unterrichten, ein von der EDK anerkanntes Lehrdiplom als Regelklassenlehrperson sowie den Abschluss eines zertifizierten Lehrgangs in DaZ für die Volksschule; Ausnahmen sind nicht (mehr) vorgesehen. Selbst wenn hier die in § 29 VSM statuierten Ausnahmeregelungen (analog) zur Anwendung gelangten, wovon Beschwerdegegner und Vorinstanz ausgehen, ist der Entscheid der Vorinstanzen, den Beschwerdeführer nicht als DaZ-Lehrperson zuzulassen, nicht zu beanstanden. So ist es nicht rechtsverletzend, wenn der Beschwerdegegner und die Vorinstanz auch die einzelfallweise Zulassung als DaZ-Lehrperson vom Vorhandensein eines anerkannten Lehrdiploms als Regelklassenlehrperson abhängig machen (zum Ganzen E. 2.1-3). Abweisung.</w:t>
      </w:r>
    </w:p>
    <w:p>
      <w:pPr>
        <w:pStyle w:val="Heading2"/>
      </w:pPr>
      <w:r>
        <w:t>Erwägungen</w:t>
      </w:r>
    </w:p>
    <w:p>
      <w:r>
        <w:rPr>
          <w:b/>
        </w:rPr>
        <w:t>E. 4</w:t>
      </w:r>
    </w:p>
    <w:p>
      <w:r>
        <w:t>Im vorliegenden Verfahren sind keine personalrechtlichen Fragen umstritten; es geht darin einzig um die – von einem konkreten Arbeitsverhältnis losgelöste – Zulassung des Beschwerdeführers als DaZ-Lehrperson durch den Beschwerdegegner. Unter diesen Umständen ist nicht von einer personalrechtlichen Streitigkeit im Sinn von § 65a Abs. 3 Satz 1 VRG auszugehen, weshalb Gerichtskosten zu erheben sind (Kaspar Plüss, Kommentar VRG, § 65a N. 23 in Verbindung mit § 13 N. 85). Ausgangsgemäss sind die Gerichtskosten dem Beschwerdeführer aufzuerlegen (§ 65 Abs. 2 in Verbindung mit § 13 Abs. 2 Satz 1 VRG). Eine Parteientschädigung bleibt ihm verwehrt (§ 17 Abs. 2 VRG).</w:t>
      </w:r>
    </w:p>
    <w:p>
      <w:r>
        <w:rPr>
          <w:b/>
        </w:rPr>
        <w:t>E. 5</w:t>
      </w:r>
    </w:p>
    <w:p>
      <w:r>
        <w:t>Zur Rechtsmittelbelehrung des nachstehenden Dispositivs ist Folgendes zu erläutern: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Vom Ausschlussgrund von Art. 83 lit. t BGG werden sämtliche Entscheide erfasst, die sich auf eine Bewertung der intellektuellen oder physischen Fähigkeiten oder die Eignung einer Kandidatin oder eines Kandidaten beziehen (BGr, 26. Februar 2021, 2D_5/2019, E. 1.3). Soweit indessen nicht die Bewertung der intellektuellen oder physischen Fähigkeiten, sondern organisatorische bzw. verfahrensrechtliche Gesichtspunkte Gegenstand des Verfahrens bilden, wird dies vom Ausschlussgrund nicht erfasst und steht die Beschwerde in öffentlich-rechtlichen Angelegenheiten nach Art. 82 ff. BGG zur Verfügung (vgl. BGr, 26. Februar 2021, 2D_5/2019, E. 1.3 und 19. Mai 2011, 2D_7/2011, E. 1.2). Ansonsten kann die subsidiäre Verfassungsbeschwerde gemäss Art. 113 ff. BGG ergriffen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