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VB.2023.00288 vom 22. November 2023</w:t>
      </w:r>
    </w:p>
    <w:p>
      <w:r>
        <w:t>ZH Verwaltungsgericht, 2023-11-22, DE</w:t>
      </w:r>
    </w:p>
    <w:p>
      <w:r>
        <w:rPr>
          <w:b/>
        </w:rPr>
        <w:t xml:space="preserve">Quelle: </w:t>
      </w:r>
      <w:r>
        <w:t>https://mcp.opencaselaw.ch/entscheid/zh_verwaltungsgericht__VB.2023.00288</w:t>
      </w:r>
    </w:p>
    <w:p>
      <w:r>
        <w:t>FR: ZH_VERWALTUNGSGERICHT VB.2023.00288 du 22 novembre 2023</w:t>
      </w:r>
    </w:p>
    <w:p>
      <w:r>
        <w:t>IT: ZH_VERWALTUNGSGERICHT VB.2023.00288 del 22 novembre 2023</w:t>
      </w:r>
    </w:p>
    <w:p>
      <w:pPr>
        <w:pStyle w:val="Heading2"/>
      </w:pPr>
      <w:r>
        <w:t>Regeste</w:t>
      </w:r>
    </w:p>
    <w:p>
      <w:r>
        <w:t>Aufenthaltsbewilligung | [Die Beschwerdeführerin, eine 1980 geborene Staatsangehörige Burkina Fasos, hält sich seit 2006 ohne Bewilligung in der Schweiz auf; sie ist Mutter zweier 2008 bzw. 2012 geborenen Söhne, die inzwischen eingebürgert sind und beim Vater leben.] Die Beschwerdeführerin pflegt die Beziehung zu ihren beiden Söhnen nur beschränkt über unmittelbare Kontakte und kommt nicht für ihren Unterhalt auf. Dieser Umstand ist jedoch massgeblich auf ihren prekären Aufenthaltsstatus und ihre Wohnsituation (Unterbringung in Durchgangszentren, Notunterkünften) zurückzuführen und kann ihr somit nicht direkt vorgeworfen werden (E. 2.3.1 f.). Dass sie die Beziehung zu ihren Söhnen von Burkina Faso aus pflegen könnte, erscheint nicht realistisch. Generell ist fraglich, ob der Beschwerdeführerin die Ausreise ins Heimatland überhaupt zugemutet werden kann (E. 2.3.4). In diesem speziell gelagerten Fall verletzt die Wegweisung der Beschwerdeführerin Art. 8 EMRK (E. 2.4). Gutheissung.</w:t>
      </w:r>
    </w:p>
    <w:p>
      <w:pPr>
        <w:pStyle w:val="Heading2"/>
      </w:pPr>
      <w:r>
        <w:t>Erwägungen</w:t>
      </w:r>
    </w:p>
    <w:p>
      <w:r>
        <w:rPr>
          <w:b/>
        </w:rPr>
        <w:t>E. 4</w:t>
      </w:r>
    </w:p>
    <w:p>
      <w:r>
        <w:t>Ausgangsgemäss sind die Gerichtskosten dem Beschwerdegegner aufzuerlegen (§ 65a Abs. 2 in Verbindung mit § 13 Abs. 2 Satz 1 VRG). Desgleichen hat dieser der Beschwerdeführerin eine angemessene Parteientschädigung von insgesamt Fr. 3'500.- inklusive Mehrwertsteuer für das Rekurs- und das Beschwerdeverfahren zu bezahlen (§ 17 Abs. 2 VRG).</w:t>
      </w:r>
    </w:p>
    <w:p>
      <w:r>
        <w:rPr>
          <w:b/>
        </w:rPr>
        <w:t>E. 5</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(Art. 83 lit. c Ziff. 2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