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VB.2023.00276 vom 26. Juni 2023</w:t>
      </w:r>
    </w:p>
    <w:p>
      <w:r>
        <w:t>ZH Verwaltungsgericht, 2023-06-26, DE</w:t>
      </w:r>
    </w:p>
    <w:p>
      <w:r>
        <w:rPr>
          <w:b/>
        </w:rPr>
        <w:t xml:space="preserve">Quelle: </w:t>
      </w:r>
      <w:r>
        <w:t>https://mcp.opencaselaw.ch/entscheid/zh_verwaltungsgericht__VB.2023.00276</w:t>
      </w:r>
    </w:p>
    <w:p>
      <w:r>
        <w:t>FR: ZH_VERWALTUNGSGERICHT VB.2023.00276 du 26 juin 2023</w:t>
      </w:r>
    </w:p>
    <w:p>
      <w:r>
        <w:t>IT: ZH_VERWALTUNGSGERICHT VB.2023.00276 del 26 giugno 2023</w:t>
      </w:r>
    </w:p>
    <w:p>
      <w:pPr>
        <w:pStyle w:val="Heading2"/>
      </w:pPr>
      <w:r>
        <w:t>Regeste</w:t>
      </w:r>
    </w:p>
    <w:p>
      <w:r>
        <w:t>Eingrenzung (G.-Nr. GI230026-L) | Ausübung der Religionsfreiheit. Dem Beschwerdeführer steht es offen, um eine Ausnahmebewilligung für die von ihm gewünschten Synagogenbesuche bzw. Tora-Unterrichtsstunden zu ersuchen. So muss die zuständige Behörde auf begründetes Gesuch hin Ausnahmen von der Eingrenzung bewilligen, soweit die entsprechenden Grundbedürfnisse nicht sachgerecht und grundrechtskonform im bezeichneten Aufenthaltsgebiet selber abgedeckt werden können (E. 4.3.2). Arztbesuche bedürfen keiner vorgängigen Ausnahmebewilligung (E. 4.3.3). Die Eingrenzung erweist sich als verhältnismässig. Gewährung URB. Abweisung.</w:t>
      </w:r>
    </w:p>
    <w:p>
      <w:pPr>
        <w:pStyle w:val="Heading2"/>
      </w:pPr>
      <w:r>
        <w:t>Erwägungen</w:t>
      </w:r>
    </w:p>
    <w:p>
      <w:r>
        <w:rPr>
          <w:b/>
        </w:rPr>
        <w:t>E. 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macht zusammengefasst geltend, die verfügte Eingrenzung sei nicht verhältnismässig. Im Bezirk Horgen könne er weder eine Synagoge besuchen noch Tora-Unterricht nehmen oder die ihm empfohlenen Psychiater aufsuchen.</w:t>
      </w:r>
    </w:p>
    <w:p>
      <w:r>
        <w:rPr>
          <w:b/>
        </w:rPr>
        <w:t>E. 3.1</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Ausreisefrist nicht eingehalten hat.</w:t>
      </w:r>
    </w:p>
    <w:p>
      <w:r>
        <w:rPr>
          <w:b/>
        </w:rPr>
        <w:t>E. 3.2</w:t>
      </w:r>
    </w:p>
    <w:p>
      <w:r>
        <w:t>Der Beschwerdeführer ist kubanischer Staatsangehöriger und stellte am 22. November 2019 ein Asylgesuch, welches das Staatssekretariat für Migration mit Entscheid vom 6. Januar 2022 abwies, wobei es ihn aus der Schweiz auswies und den Beschwerdeführer aufforderte, die Schweiz nach Eintritt der Rechtskraft des Entscheids zu verlassen. Nachdem das Bundesverwaltungsgericht auf eine dagegen erhobene Beschwerde nicht eintrat, wurde der Beschwerdeführer aufgefordert, die Schweiz bis zum 2. Juni 2022 zu verlassen. Die ihm angesetzte Ausreisefrist ist damit schon seit Längerem verstrichen.</w:t>
      </w:r>
    </w:p>
    <w:p>
      <w:r>
        <w:rPr>
          <w:b/>
        </w:rPr>
        <w:t>E. 3.3</w:t>
      </w:r>
    </w:p>
    <w:p>
      <w:r>
        <w:t>Bei dieser Sachlage liegen sowohl ein rechtskräftiger Wegweisungsentscheid als auch die Nichteinhaltung der angesetzten Frist zur Ausreise im Sinn von Art. 74 Abs. 1 lit. b AIG offenkundig vor. Damit ist die Eingrenzung des Beschwerdeführers grundsätzlich möglich.</w:t>
      </w:r>
    </w:p>
    <w:p>
      <w:r>
        <w:rPr>
          <w:b/>
        </w:rPr>
        <w:t>E. 4.1</w:t>
      </w:r>
    </w:p>
    <w:p>
      <w:r>
        <w:t>Die Eingrenzung muss als staatliche Anordnung verhältnismässig, das heisst geeignet, erforderlich und zumutbar sein.</w:t>
      </w:r>
    </w:p>
    <w:p>
      <w:r>
        <w:rPr>
          <w:b/>
        </w:rPr>
        <w:t>E. 4.2</w:t>
      </w:r>
    </w:p>
    <w:p>
      <w:r>
        <w:t>Der Zweck der Eingrenzung nach Art. 74 Abs. 1 lit. b AIG liegt darin, den Verbleib der ausländischen Person zu kontrollieren sowie ihre Verfügbarkeit für die Vorbereitung und Durchführung der Ausschaffung sicherzustellen (Andreas Zünd, in: Marc Spescha/Hanspeter Thür/Andreas Zünd/Peter Bolzli/Constantin Hruschka/ Fanny de Weck , Kommentar Migrationsrecht, 5. A., Zürich 2019, Art. 74 AuG N. 5). Da die Eingrenzung ein milderes Mittel zum ausländerrechtlich begründeten Freiheitsentzug darstellt, darf sie wie dieser eine gewisse Druckwirkung zur Durchsetzung der Ausreisepflicht entfalten (BGE 144 II 16 E. 4.2 f.). Gemäss der bundesgerichtlichen Rechtsprechung besteht auch dann ein grundlegendes rechtsstaatliches Interesse daran, dass rechtskräftige Wegweisungsverfügungen verfolgt werden, wenn ein zwangsweiser Vollzug der Wegweisung nicht möglich ist. Die Eingrenzung nach Art. 74 Abs. 1 lit. b AIG kann auch dazu dienen, die spontane Ausreise zu fördern und ist insofern erst dann untauglich zur Erreichung ihres Zwecks, wenn sowohl die Ausschaffung als auch die freiwillige Ausreise objektiv unmöglich sind (BGE 144 II 16 E. 4.7.2 und E. 4.8). Eine freiwillige Ausreise nach Kuba ist aktuell möglich. Die Eignung der Eingrenzung nach Art. 74 Abs. 1 lit. b AIG ist gegeben.</w:t>
      </w:r>
    </w:p>
    <w:p>
      <w:r>
        <w:rPr>
          <w:b/>
        </w:rPr>
        <w:t>E. 4.3.1</w:t>
      </w:r>
    </w:p>
    <w:p>
      <w:r>
        <w:t>Für die Frage, ob die Eingrenzung erforderlich und zumutbar ist, ist sodann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 Besteht kein schwerwiegendes öffentliches Interesse an der Eingrenzung und war der Betroffene erreichbar, so bestehen vorbehältlich einer wesentlichen Veränderung der Verhältnisse bereits nach Ablauf einer zweijährigen Eingrenzung vermutungsweise Zweifel an der Verhältnismässigkeit einer Verlängerung (VGr, 13. Oktober 2016, VB.2016.00538, E. 4; ferner VGr. 24. Oktober 2017, VB.2017.00033, E. 2.4.4); dies auch vor dem Hintergrund, dass mehrjährige Eingrenzungen laut bundesgerichtlicher Rechtsprechung nicht auf unabsehbare Zeit erhalten bleiben können (vgl. BGr, 24. Mai 2011, 6B_808/2011, E. 1.3, und 13. Juli 1995, 2A.193/1995 E. 2c). Das Bundesgericht hat in seiner Praxis Eingrenzungen bis zu zwei Jahren als verhältnismässig bezeichnet (BGr, 22. März 2021, 2C_993/2020, E. 3.2 mit Hinweis auf BGE 144 II 16 E. 5.3; zum Ganzen VGr, 13. Januar 2022, VB.2021.00478, E. 6.3.1 – 16. November 2021, VB.2021.00586, E. 5.3.1 – 14. April 2021, VB.2021.00203, E. 5.3.1 [jeweils mit Hinweisen]).</w:t>
      </w:r>
    </w:p>
    <w:p>
      <w:r>
        <w:rPr>
          <w:b/>
        </w:rPr>
        <w:t>E. 4.3.2</w:t>
      </w:r>
    </w:p>
    <w:p>
      <w:r>
        <w:t>Bei den vorliegenden Gegebenheiten ist eine Eingrenzung auf einen Bezirk gestützt auf die verwaltungsgerichtliche Rechtsprechung grundsätzlich verhältnismässig (vgl. VGr, 6. August 2020, VB.2020.00053, E. 2.5.1 [nicht publiziert] – 27. März 2017, VB.2017.00026, E. 2.6.3 – 13. Oktober 2016, VB.2016.00538, E. 3.3). Der Bezirk Horgen hat eine Fläche von 104,24 km 2 , besteht aus neun Gemeinden und verfügt über eine gute Infrastruktur. Auf dem eingegrenzten Gebiet kann der Beschwerdeführer in angemessener Weise leben und seine elementaren Lebensbedürfnisse befriedigen. Zwar scheint es im Bezirk Horgen keine Synagoge zu geben, dem Beschwerdeführer steht es jedoch offen, um eine entsprechende Ausnahmebewilligung für die von ihm gewünschten Synagogenbesuche bzw. Tora-Unterrichtsstunden zu ersuchen. So muss die zuständige Behörde auf begründetes Gesuch hin Ausnahmen von der Eingrenzung bewilligen, soweit die entsprechenden Grundbedürfnisse nicht sachgerecht und grundrechtskonform im bezeichneten Aufenthaltsgebiet selber abgedeckt werden können (BGr, 22. März 2021, 2C_993/2020, E. 3.1). Dieses Vorgehen ist dem Beschwerdeführer grundsätzlich zumutbar, auch wenn dies, wie von ihm vorgebracht, gar wöchentlich zu erfolgen hätte. So sind die jeweiligen Gesuche gleichgerichtet und müsste wöchentlich grundsätzlich nur das Datum angepasst werden.</w:t>
      </w:r>
    </w:p>
    <w:p>
      <w:r>
        <w:rPr>
          <w:b/>
        </w:rPr>
        <w:t>E. 4.3.3</w:t>
      </w:r>
    </w:p>
    <w:p>
      <w:r>
        <w:t>Betreffend die vom Beschwerdeführer vorgebrachten Arztbesuche ist festzuhalten, dass gemäss Ziffer 4 der Verfügung vom 7. Februar 2023 Arztbesuche keiner vorgängigen Ausnahmebewilligung bedürfen. Der Aufenthalt ausserhalb des Rayons ist (nur) für die Dauer des Termins sowie die direkte An- und Abreise erlaubt und eine Terminbestätigung muss mitgeführt werden.</w:t>
      </w:r>
    </w:p>
    <w:p>
      <w:r>
        <w:rPr>
          <w:b/>
        </w:rPr>
        <w:t>E. 4.4</w:t>
      </w:r>
    </w:p>
    <w:p>
      <w:r>
        <w:t>Insgesamt erweist sich die verfügte Eingrenzung damit als verhältnismässig. Die Beschwerde ist folglich abzuweisen.</w:t>
      </w:r>
    </w:p>
    <w:p>
      <w:r>
        <w:rPr>
          <w:b/>
        </w:rPr>
        <w:t>E. 5.1</w:t>
      </w:r>
    </w:p>
    <w:p>
      <w:r>
        <w:t>Bei diesem Ausgang des Verfahrens wird der Beschwerdeführer grundsätzlich kostenpflichtig (§ 13 Abs. 2 Satz 1 in Verbindung mit § 65a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5.2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offensichtlich aussichtslos. In Anbetracht der nicht einfachen Fragestellungen war der Beschwerdeführer zur Geltendmachung seiner Ansprüche auf eine Rechtsvertretung angewiesen (vgl. Kaspar Plüss in: Griffel [Hrsg.], Kommentar zum Verwaltungsrechtspflegegesetz des Kantons Zürich, 3. A., Zürich etc. 2014, § 16 N. 80 f.). Dem Gesuch um unentgeltliche Rechtsverbeiständung ist daher zu entsprechen und dem Beschwerdeführer antragsgemäss Rechtsanwalt B als unentgeltlichen Rechtsvertreter zu bestellen.</w:t>
      </w:r>
    </w:p>
    <w:p>
      <w:r>
        <w:rPr>
          <w:b/>
        </w:rPr>
        <w:t>E. 5.3</w:t>
      </w:r>
    </w:p>
    <w:p>
      <w:r>
        <w:t>Der Rechtsvertreter reichte mit der Beschwerde seine Honorarnote ein. Der darin geltend gemachte Zeitaufwand von 6,08 Stunden sowie die Auslagen von Fr. 6.40 erscheinen mit Blick auf die Bedeutung des Verfahrens und die sich darin stellenden Fragen als angemessen (§ 9 Abs. 1 Satz 2 GebV VGr). Somit beläuft sich der Entschädigungsanspruch auf insgesamt Fr. 1'448.30.</w:t>
      </w:r>
    </w:p>
    <w:p>
      <w:r>
        <w:rPr>
          <w:b/>
        </w:rPr>
        <w:t>E. 5.4</w:t>
      </w:r>
    </w:p>
    <w:p>
      <w:r>
        <w:t>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