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VB.2023.00199 vom 26. Oktober 2023</w:t>
      </w:r>
    </w:p>
    <w:p>
      <w:r>
        <w:t>ZH Verwaltungsgericht, 2023-10-26, DE</w:t>
      </w:r>
    </w:p>
    <w:p>
      <w:r>
        <w:rPr>
          <w:b/>
        </w:rPr>
        <w:t xml:space="preserve">Quelle: </w:t>
      </w:r>
      <w:r>
        <w:t>https://mcp.opencaselaw.ch/entscheid/zh_verwaltungsgericht__VB.2023.00199</w:t>
      </w:r>
    </w:p>
    <w:p>
      <w:r>
        <w:t>FR: ZH_VERWALTUNGSGERICHT VB.2023.00199 du 26 octobre 2023</w:t>
      </w:r>
    </w:p>
    <w:p>
      <w:r>
        <w:t>IT: ZH_VERWALTUNGSGERICHT VB.2023.00199 del 26 ottobre 2023</w:t>
      </w:r>
    </w:p>
    <w:p>
      <w:pPr>
        <w:pStyle w:val="Heading2"/>
      </w:pPr>
      <w:r>
        <w:t>Regeste</w:t>
      </w:r>
    </w:p>
    <w:p>
      <w:r>
        <w:t>Bestätigung Ausschaffungshaft (Parteientschädigung) (GI230023-L) | Anspruch auf Zusprechung einer Parteientschädigung vor Zwangsmassnahmengericht; rechtliches Gehör. Der Beschwerdeführer moniert eine Verletzung von § 17 Abs. 2 lit. a VRG, da die Gegenpartei von der Vorinstanz nicht zur Bezahlung einer Parteientschädigung an ihn verpflichtet worden sei. In diesem Zusammenhang macht der Beschwerdeführer eine Verletzung des rechtlichen Gehörs geltend (E. 3.1). Die Vorinstanz hat den Antrag des Beschwerdeführers auf Zusprechung einer Parteientschädigung unbehandelt gelassen, mithin weder die Verweigerung einer Parteienschädigung im Rahmen der Erwägungen (allenfalls in reduzierter Weise) begründet noch im Dispositiv die Erledigungsart ausgewiesen. Indem die Vorinstanz den Antrag auf Zusprechung einer Parteientschädigung (welche grundsätzlich Vorrang hat gegenüber der staatlichen Entschädigung) ungeprüft liess, beging sie eine Verletzung des rechtlichen Gehörs (E. 3.2). Gutheissung und Rückweisung an Vorinstanz.</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Die Vorinstanz hat dem aus Chile stammenden, 37-jährigen Beschwerdeführer, der sich seit dem 16. Februar 2018 in der Schweiz aufhält, materiell Recht gegeben und seinen Hauptanträgen entsprochen.</w:t>
      </w:r>
    </w:p>
    <w:p>
      <w:r>
        <w:rPr>
          <w:b/>
        </w:rPr>
        <w:t>E. 3.1</w:t>
      </w:r>
    </w:p>
    <w:p>
      <w:r>
        <w:t>Der Beschwerdeführer moniert eine Verletzung von § 17 Abs. 2 lit. a VRG, da die Gegenpartei von der Vorinstanz nicht zur Bezahlung einer Parteientschädigung an ihn verpflichtet worden sei. In diesem Zusammenhang macht der Beschwerdeführer eine Verletzung des rechtlichen Gehörs geltend. Eine Begründung für die Entscheidung hinsichtlich der Verweigerung einer Entschädigung suche man im vorinstanzlichen Urteil – trotz ausdrücklichen Antrags – vergeblich. Die Vorinstanz habe den Antrag nicht einmal ausdrücklich abgewiesen, sondern sich damit begnügt, dem Beschwerdeführer die unentgeltliche Rechtsverbeiständung zu gewähren.</w:t>
      </w:r>
    </w:p>
    <w:p>
      <w:r>
        <w:rPr>
          <w:b/>
        </w:rPr>
        <w:t>E. 3.2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w:t>
      </w:r>
    </w:p>
    <w:p>
      <w:r>
        <w:rPr>
          <w:b/>
        </w:rPr>
        <w:t>E. 3.3</w:t>
      </w:r>
    </w:p>
    <w:p>
      <w:r>
        <w:t>Die Vorinstanz hat den Antrag des Beschwerdeführers auf Zusprechung einer Parteientschädigung unbehandelt gelassen, mithin weder die Verweigerung einer Parteienschädigung im Rahmen der Erwägungen (allenfalls in reduzierter Weise ) begründet noch im Dispositiv die Erledigungsart ausgewiesen. Indem die Vorinstanz den Antrag auf Zusprechung einer Parteientschädigung (welche grundsätzlich Vorrang hat gegenüber der staatlichen Entschädigung, VGr, 23. Dezember 2013, VB.2013.00665, E. 2.3) ungeprüft liess, beging sie eine Verletzung des rechtlichen Gehörs (Art. 29 Abs. 2 BV). Die Sache ist somit in Bezug auf die Entschädigungsfolgen des Urteils des Zwangsmassnahmengerichts vom 4. März 2023 zur Neubeurteilung – und damit zur erstmaligen Beurteilung des Antrags auf Ausrichtung einer Parteientschädigung – an die Vorinstanz zurückzuweisen.</w:t>
      </w:r>
    </w:p>
    <w:p>
      <w:r>
        <w:rPr>
          <w:b/>
        </w:rPr>
        <w:t>E. 4.1</w:t>
      </w:r>
    </w:p>
    <w:p>
      <w:r>
        <w:t>Damit ist die Beschwerde gutzuheissen.</w:t>
      </w:r>
    </w:p>
    <w:p>
      <w:r>
        <w:rPr>
          <w:b/>
        </w:rPr>
        <w:t>E. 4.2</w:t>
      </w:r>
    </w:p>
    <w:p>
      <w:r>
        <w:t>Die Vorinstanz hat aufgrund ihrer Verletzung des rechtlichen Gehörs die Verfahrenskosten zu tragen (§ 65a Abs. 2 in Verbindung mit § 13 Abs. 2 VRG; BGr, 20. Januar 2017, 1C_233/2016, E. 6.2; VGr, 23. Juli 2021, VB.2021.00451, E. 4.1). Das Gesuch des Beschwerdeführers um unentgeltliche Prozessführung ist als gegenstandslos geworden abgeschrieben.</w:t>
      </w:r>
    </w:p>
    <w:p>
      <w:r>
        <w:rPr>
          <w:b/>
        </w:rPr>
        <w:t>E. 4.3</w:t>
      </w:r>
    </w:p>
    <w:p>
      <w:r>
        <w:t>Ausgangsgemäss hat die Vorinstanz dem Beschwerdeführer in Anwendung von § 17 Abs. 2 lit. a VRG – (ebenfalls) nach dem Verursacherprinzip (Kaspar Plüss, in : Alain Griffel [Hrsg.], Kommentar zum Verwaltungsrechtspflegegesetz des Kantons Zürich [VRG], 3. A., Zürich etc. 2014 [Kommentar VRG] , § 17 N. 27) – eine Parteientschädigung für die Bemühungen seiner Rechtsvertretung zuzusprechen. Als angemessen erscheint ein Betrag von Fr. 1'000.- (inkl. Mehrwertsteuer), zahlbar an seinen Rechtsvertreter.</w:t>
      </w:r>
    </w:p>
    <w:p>
      <w:r>
        <w:rPr>
          <w:b/>
        </w:rPr>
        <w:t>E. 4.4</w:t>
      </w:r>
    </w:p>
    <w:p>
      <w:r>
        <w:t>Zu prüfen bleibt das Gesuch des Beschwerdeführers um Bestellung einer unentgeltlichen Rechtsverbeiständung.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offensichtlich aussichtslos. In Anbetracht der nicht einfachen Fragestellung war der Beschwerdeführer zur Geltendmachung seiner Ansprüche auf eine Rechtsvertretung angewiesen (vgl. Plüss, Kommentar VRG, § 16 N. 80 f.). Dem Gesuch um unentgeltliche Rechtsverbeiständung ist daher zu entsprechen und dem Beschwerdeführer Rechtsanwalt MLaw B als unentgeltlicher Rechtsvertreter zu bestellen. Dem Rechtsvertreter ist Frist zur Einreichung der Honorarnote anzusetzen.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