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VB.2023.00180 vom 25. Mai 2021</w:t>
      </w:r>
    </w:p>
    <w:p>
      <w:r>
        <w:t>ZH Verwaltungsgericht, 2021-05-25, DE</w:t>
      </w:r>
    </w:p>
    <w:p>
      <w:r>
        <w:rPr>
          <w:b/>
        </w:rPr>
        <w:t xml:space="preserve">Quelle: </w:t>
      </w:r>
      <w:r>
        <w:t>https://mcp.opencaselaw.ch/entscheid/zh_verwaltungsgericht__VB.2023.00180</w:t>
      </w:r>
    </w:p>
    <w:p>
      <w:r>
        <w:t>FR: ZH_VERWALTUNGSGERICHT VB.2023.00180 du 25 mai 2021</w:t>
      </w:r>
    </w:p>
    <w:p>
      <w:r>
        <w:t>IT: ZH_VERWALTUNGSGERICHT VB.2023.00180 del 25 maggio 2021</w:t>
      </w:r>
    </w:p>
    <w:p>
      <w:pPr>
        <w:pStyle w:val="Heading2"/>
      </w:pPr>
      <w:r>
        <w:t>Regeste</w:t>
      </w:r>
    </w:p>
    <w:p>
      <w:r>
        <w:t>Einbürgerung | [Anfechtung eines Rückweisungsentscheids] Der angefochtene Beschluss, mit welchem die Sache zur erneuten Durchführung des Einbürgerungsgesprächs im Sinn der Erwägungen und zu neuem Entscheid an die Beschwerdegegnerin zurückgewiesen wurde, ist ein Zwischenentscheid. Dieser könnte nur angefochten werden, wenn ein nicht wiedergutzumachender Nachteil drohte oder die Gutheissung sofort einen Endentscheid herbeiführen und damit ein weitläufiges Beweisverfahren ersparen könnte. Die Beschwerdeführenden legen nicht dar und es ist auch nicht ersichtlich, inwiefern diese Voraussetzungen hier erfüllt sein sollten (zum Ganzen E. 2). Nichteintreten.</w:t>
      </w:r>
    </w:p>
    <w:p>
      <w:pPr>
        <w:pStyle w:val="Heading2"/>
      </w:pPr>
      <w:r>
        <w:t>Erwägungen</w:t>
      </w:r>
    </w:p>
    <w:p>
      <w:r>
        <w:rPr>
          <w:b/>
        </w:rPr>
        <w:t>E. 4</w:t>
      </w:r>
    </w:p>
    <w:p>
      <w:r>
        <w:t>Zur Rechtsmittelbelehrung des nachstehenden Dispositivs ist Folgendes zu erläutern: Gemäss Art. 83 lit. b BGG ist die Beschwerde in öffentlich-rechtlichen Angelegenheiten gegen Entscheide über die ordentliche Einbürgerung ausgeschlossen. Entsprechend ist auch das gesamte kantonale und kommunale Einbürgerungsverfahren von der Beschwerde ausgenommen (Thomas Häberli, Basler Kommentar, 2018, Art. 83 BGG N. 48). Es steht somit bloss die subsidiäre Verfassungsbeschwerde gemäss Art. 113 ff. BGG offen. Da der vorinstanzliche Beschluss einen Zwischenentscheid darstellt, ist der vorliegende sodann ebenfalls ein solcher (Bertschi, § 19a N. 32; VGr, 25. Mai 2021, VB.2021.00045, E. 3 ). Das Bundesgericht lässt sich daher im Sinn des Art. 93 Abs. 1 BGG nur anrufen, wenn ein nicht wiedergutzumachender Nachteil drohte oder wenn die Gutheissung der Beschwerde sofort einen Endentscheid herbeiführen könnte und so ein bedeutender Aufwand an Zeit oder Kosten für ein weitläufiges Beweisverfahren ersparen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