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VB.2023.00166 vom 23. Mai 2023</w:t>
      </w:r>
    </w:p>
    <w:p>
      <w:r>
        <w:t>ZH Verwaltungsgericht, 2023-05-23, DE</w:t>
      </w:r>
    </w:p>
    <w:p>
      <w:r>
        <w:rPr>
          <w:b/>
        </w:rPr>
        <w:t xml:space="preserve">Quelle: </w:t>
      </w:r>
      <w:r>
        <w:t>https://mcp.opencaselaw.ch/entscheid/zh_verwaltungsgericht__VB.2023.00166</w:t>
      </w:r>
    </w:p>
    <w:p>
      <w:r>
        <w:t>FR: ZH_VERWALTUNGSGERICHT VB.2023.00166 du 23 mai 2023</w:t>
      </w:r>
    </w:p>
    <w:p>
      <w:r>
        <w:t>IT: ZH_VERWALTUNGSGERICHT VB.2023.00166 del 23 maggio 2023</w:t>
      </w:r>
    </w:p>
    <w:p>
      <w:pPr>
        <w:pStyle w:val="Heading2"/>
      </w:pPr>
      <w:r>
        <w:t>Regeste</w:t>
      </w:r>
    </w:p>
    <w:p>
      <w:r>
        <w:t>Erteilung einer Niederlassungsbewilligung | Nichteintreten wegen nicht bezahlter Kaution und mangelhafter Beschwerdeverbesserung.</w:t>
      </w:r>
    </w:p>
    <w:p>
      <w:pPr>
        <w:pStyle w:val="Heading2"/>
      </w:pPr>
      <w:r>
        <w:t>Erwägungen</w:t>
      </w:r>
    </w:p>
    <w:p>
      <w:r>
        <w:rPr>
          <w:b/>
        </w:rPr>
        <w:t>E. 2</w:t>
      </w:r>
    </w:p>
    <w:p>
      <w:r>
        <w:t>Bei diesem Verfahrensausgang sind die reduzierten Gerichtskosten der Beschwerdeführerin aufzuerlegen (§ 13 Abs. 2 in Verbindung mit § 65a Abs. 2 VRG) und es steht ihr keine Parteientschädigung zu, zumal eine solche auch nicht beantragt worden ist (§ 17 Abs. 2 VRG).</w:t>
      </w:r>
    </w:p>
    <w:p>
      <w:r>
        <w:rPr>
          <w:b/>
        </w:rPr>
        <w:t>E. 3</w:t>
      </w:r>
    </w:p>
    <w:p>
      <w:r>
        <w:t>Der vorliegende Entscheid kann mit Beschwerde in öffentlich-rechtlichen Angelegenheiten nach Art. 82 ff.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