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VB.2023.00125 vom 29. September 2021</w:t>
      </w:r>
    </w:p>
    <w:p>
      <w:r>
        <w:t>ZH Verwaltungsgericht, 2021-09-29, DE</w:t>
      </w:r>
    </w:p>
    <w:p>
      <w:r>
        <w:rPr>
          <w:b/>
        </w:rPr>
        <w:t xml:space="preserve">Quelle: </w:t>
      </w:r>
      <w:r>
        <w:t>https://mcp.opencaselaw.ch/entscheid/zh_verwaltungsgericht__VB.2023.00125</w:t>
      </w:r>
    </w:p>
    <w:p>
      <w:r>
        <w:t>FR: ZH_VERWALTUNGSGERICHT VB.2023.00125 du 29 septembre 2021</w:t>
      </w:r>
    </w:p>
    <w:p>
      <w:r>
        <w:t>IT: ZH_VERWALTUNGSGERICHT VB.2023.00125 del 29 settembre 2021</w:t>
      </w:r>
    </w:p>
    <w:p>
      <w:pPr>
        <w:pStyle w:val="Heading2"/>
      </w:pPr>
      <w:r>
        <w:t>Regeste</w:t>
      </w:r>
    </w:p>
    <w:p>
      <w:r>
        <w:t>Kostengutsprache für eine ausserkantonale Schulung | [Die 2008 geborene Tochter der Beschwerdeführenden verfügt über eine Swiss Olympic Talent Card Regional in der Sportart Ski Alpin und besuchte im Schuljahr 2022/2023 eine 1. Sekundarklasse in der Sportmittelschule Engelberg; im Frühjahr ersuchten ihre Eltern um Übernahme der Kosten der ausserkantonalen Schulung.] Kinder und Jugendliche, die noch volksschulpflichtig sind und eine sportliche oder künstlerische Hochbegabung aufweisen, haben grundsätzlich keinen Anspruch auf Besuch einer (ausserkantonalen) Talentschule (E. 2.2 und E. 3.2). Der Regierungsrat kann jedoch für besonders begabte Schülerinnen und Schüler Schulen mit Bildungsschwerpunkten oder Rahmenbedingungen bewilligen (E. 2.3). Der Kanton Zürich ist zudem der Interkantonalen Vereinbarung für Schulen mit spezifisch-strukturierten Angeboten für Hochbegabte beigetreten. Dies ermöglicht ihm gerade im Bereich der Förderung von Sporttalenten auch auf die (anerkannten) Angebote in anderen Kantonen zurückzugreifen, wobei er seine Zahlungsbereitschaft an die "Bedingung" einer vorgängigen Kostengutsprache durch das zuständige Amt geknüpft hat (E. 2.4). Die Bildungsdirektion durfte die Kriterien für die Erteilung einer solchen Kostengutsprache festlegen (E. 3.2). Die strittigen Kriterien einer fehlenden gleichwertigen Alternative im Kanton und der guten Erreichbarkeit des ausserkantonalen Schulangebots erweisen sich als sachgerecht und ergeben sich im Übrigen ohnehin bereits (sinngemäss) aus der Praxis des Bundesgerichts zu Art. 19 BV sowie aus § 10 und § 11 Abs. 1 VSG (E. 3.3). Die Reisewege, die die Tochter der Beschwerdeführenden im Fall des Besuchs einer kantonalen Talentschule wöchentlich zurücklegen müsste, sind für eine 16-jährige Schülerin unzumutbar und lassen die betrachteten Schullösungen nicht mehr als gleichwertig erscheinen. Gelangen die Vorinstanzen unter Berücksichtigung namentlich der fiktiven Reisezeiten von der Sportmittelschule Engelberg zum RLZ Hoch-Ybrig zum gegenteiligen Schluss,überschreiten sie das ihnen zukommende Ermessen (E. 3.4.3 f.). Nachdem die übrigen Voraussetzungen für eine Schulgeldübernahme durch den Kanton unstreitig erfüllt sind, ist der Beschwerdegegner zu verpflichten, die strittige Kostengutsprache zu erteilen (E. 3.5). Gutheissung.</w:t>
      </w:r>
    </w:p>
    <w:p>
      <w:pPr>
        <w:pStyle w:val="Heading2"/>
      </w:pPr>
      <w:r>
        <w:t>Erwägungen</w:t>
      </w:r>
    </w:p>
    <w:p>
      <w:r>
        <w:rPr>
          <w:b/>
        </w:rPr>
        <w:t>E. 4</w:t>
      </w:r>
    </w:p>
    <w:p>
      <w:r>
        <w:t>Nach dem Gesagten ist die Beschwerde gutzuheissen und der Beschwerdegegner zu verpflichten, E Kostengutsprache für die ausserkantonale Schulung an der Schweizerischen Sportmittelschule Engelberg für das Schuljahr 2022/2023 zu erteilen.</w:t>
      </w:r>
    </w:p>
    <w:p>
      <w:r>
        <w:rPr>
          <w:b/>
        </w:rPr>
        <w:t>E. 5</w:t>
      </w:r>
    </w:p>
    <w:p>
      <w:r>
        <w:t>Ausgangsgemäss sind die Kosten des Rekurs- und des Beschwerdeverfahrens dem Beschwerdegegner aufzuerlegen (§ 65a Abs. 2 in Verbindung mit § 13 Abs. 2 Satz 1 VRG). Dieser ist zudem zu verpflichten, den Beschwerdeführenden eine angemessene Parteientschädigung für das Beschwerdeverfahren zu bezahlen (§ 17 Abs. 2 VRG ). Die Entschädigung ist nach § 8 Abs. 1 der Gebührenverordnung des Verwaltungsgerichts vom 3. Juli 2018 (LS 175.252) zu bemessen; die Honorarnoten der Rechtsvertreterin sind zu beachten, aber nicht bindend (VGr, 28. Juli 2022, VB.2022.00150, E. 2.4 mit Hinweisen; ferner VGr, 27. Mai 2021, VB.2020.00644, E. 7; Kaspar Plüss, Kommentar VRG, § 17 N. 80 ff.). Als angemessen erweist sich hier eine Parteientschädigung von Fr. 2'000.- (inklusive Mehrwertsteuer). Vor der Vorinstanz beantragten die damals noch nicht anwaltlich vertretenen Beschwerdeführenden keine Parteientschädigung.</w:t>
      </w:r>
    </w:p>
    <w:p>
      <w:r>
        <w:rPr>
          <w:b/>
        </w:rPr>
        <w:t>E. 6</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(vgl. statt vieler BGr, 29. September 2021, 2C_385/2021, E. 1),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