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VB.2023.00096 vom 28. Mai 2019</w:t>
      </w:r>
    </w:p>
    <w:p>
      <w:r>
        <w:t>ZH Verwaltungsgericht, 2019-05-28, DE</w:t>
      </w:r>
    </w:p>
    <w:p>
      <w:r>
        <w:rPr>
          <w:b/>
        </w:rPr>
        <w:t xml:space="preserve">Quelle: </w:t>
      </w:r>
      <w:r>
        <w:t>https://mcp.opencaselaw.ch/entscheid/zh_verwaltungsgericht__VB.2023.00096</w:t>
      </w:r>
    </w:p>
    <w:p>
      <w:r>
        <w:t>FR: ZH_VERWALTUNGSGERICHT VB.2023.00096 du 28 mai 2019</w:t>
      </w:r>
    </w:p>
    <w:p>
      <w:r>
        <w:t>IT: ZH_VERWALTUNGSGERICHT VB.2023.00096 del 28 maggio 2019</w:t>
      </w:r>
    </w:p>
    <w:p>
      <w:pPr>
        <w:pStyle w:val="Heading2"/>
      </w:pPr>
      <w:r>
        <w:t>Regeste</w:t>
      </w:r>
    </w:p>
    <w:p>
      <w:r>
        <w:t>Lohnfortzahlung und Entschädigung | [Das Anstellungsverhältnis des Beschwerdeführers wurde mit Aufhebungsvereinbarung vom 28. Mai 2019 per Ende November 2019 im gegenseitigen Einvernehmen aufgelöst; im Anschluss machte der Beschwerdeführer verschiedene Ansprüche aus dem Anstellungsverhältnis geltend.] Der Aufhebungsvertrag bedarf nach der Rechtsprechung des Verwaltungsgerichts einer Rechtfertigung durch die Interessen der arbeitnehmenden Person; im Einzelfall hat eine Interessenabwägung zu erfolgen, wobei zu beurteilen ist, ob die beidseitigen Ansprüche, auf die verzichtet wird, von ungefähr gleichem Wert sind (E. 2). Aus dem Sinn und Zweck einer Aufhebungsvereinbarung folgt dabei, dass massgebend für die Beurteilung der Interessenlage grundsätzlich der Zeitpunkt des Abschlusses des Aufhebungsvertrages ist; umfasst eine Klausel in einem Aufhebungsvertrag den Verzicht auf erst noch in der Zukunft entstehende Ansprüche von Arbeitnehmenden ist ein solcher zulässig, sofern durch ihn nicht eine eigentliche Gesetzesumgehung bewirkt werden soll (E. 3.1 f.). Hier stehen dem Verzicht auf zeitlichen Kündigungsschutz erhebliche Leistungen der Arbeitgeberin gegenüber und konnte sich der Beschwerdeführer in die Ausarbeitung der Aufhebungsvereinbarung einbringen; zudem hatte die Beschwerdegegnerin keine Kenntnis von einer Vorerkrankung. Es liegt ein echter Vergleich vor (E. 3.3 f.). Abweisung.</w:t>
      </w:r>
    </w:p>
    <w:p>
      <w:pPr>
        <w:pStyle w:val="Heading2"/>
      </w:pPr>
      <w:r>
        <w:t>Erwägungen</w:t>
      </w:r>
    </w:p>
    <w:p>
      <w:r>
        <w:rPr>
          <w:b/>
        </w:rPr>
        <w:t>E. 4</w:t>
      </w:r>
    </w:p>
    <w:p>
      <w:r>
        <w:t>Weil der Streitwert mehr als Fr. 30'000.- beträgt, ist das Verfahren kostenpflichtig (§ 65a Abs. 3 Satz 1 e contrario VRG). Ausgangsgemäss sind die Gerichtskosten dem Beschwerdeführer aufzuerlegen (§ 65a Abs. 2 in Verbindung mit § 13 Abs. 2 Satz 1 VRG) und ist diesem keine Parteientschädigung zuzusprechen (§ 17 Abs. 2 VRG).</w:t>
      </w:r>
    </w:p>
    <w:p>
      <w:r>
        <w:rPr>
          <w:b/>
        </w:rPr>
        <w:t>E. 5</w:t>
      </w:r>
    </w:p>
    <w:p>
      <w:r>
        <w:t>Der Streitwert beträgt mehr als Fr. 15'000.-, sodass als Rechtsmittel auf die Beschwerde in öffentlich-rechtlichen Angelegenheiten nach Art. 82 ff. des Bundesgerichtsgesetzes vom 17. Juni 2005 (BGG, SR 173.110) zu verweisen ist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