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VB.2023.00060 vom 6. September 2023</w:t>
      </w:r>
    </w:p>
    <w:p>
      <w:r>
        <w:t>ZH Verwaltungsgericht, 2023-09-06, DE</w:t>
      </w:r>
    </w:p>
    <w:p>
      <w:r>
        <w:rPr>
          <w:b/>
        </w:rPr>
        <w:t xml:space="preserve">Quelle: </w:t>
      </w:r>
      <w:r>
        <w:t>https://mcp.opencaselaw.ch/entscheid/zh_verwaltungsgericht__VB.2023.00060</w:t>
      </w:r>
    </w:p>
    <w:p>
      <w:r>
        <w:t>FR: ZH_VERWALTUNGSGERICHT VB.2023.00060 du 6 septembre 2023</w:t>
      </w:r>
    </w:p>
    <w:p>
      <w:r>
        <w:t>IT: ZH_VERWALTUNGSGERICHT VB.2023.00060 del 6 settembre 2023</w:t>
      </w:r>
    </w:p>
    <w:p>
      <w:pPr>
        <w:pStyle w:val="Heading2"/>
      </w:pPr>
      <w:r>
        <w:t>Regeste</w:t>
      </w:r>
    </w:p>
    <w:p>
      <w:r>
        <w:t>Erlöschen der Niederlassungsbewilligung | Der Beschwerdeführer verlangt die Verlängerung der Niederlassungsbewilligung, eventualiter die (Wieder-)Erteilung einer Aufenthaltsbewilligung. Mit seinem rechtskräftigen Landesverweis durch das Strafgericht ist das Verfahren gegenstandslos geworden (E. 2.5) Abschreibung als gegenstandslos und Verweigerung URP.</w:t>
      </w:r>
    </w:p>
    <w:p>
      <w:pPr>
        <w:pStyle w:val="Heading2"/>
      </w:pPr>
      <w:r>
        <w:t>Erwägungen</w:t>
      </w:r>
    </w:p>
    <w:p>
      <w:r>
        <w:rPr>
          <w:b/>
        </w:rPr>
        <w:t>E. 4</w:t>
      </w:r>
    </w:p>
    <w:p>
      <w:r>
        <w:t>Zur Rechtsmittelbelehrung des nachfolgenden 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Auch die Abschreibung infolge Gegenstandslosigkeit ist auf diesem Rechtsmittelweg anfechtbar (vgl. VGr, 6. September 2023, VB.2023.00367, E. 5).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