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VB.2023.00026 vom 30. Januar 2023</w:t>
      </w:r>
    </w:p>
    <w:p>
      <w:r>
        <w:t>ZH Verwaltungsgericht, 2023-01-30, DE</w:t>
      </w:r>
    </w:p>
    <w:p>
      <w:r>
        <w:rPr>
          <w:b/>
        </w:rPr>
        <w:t xml:space="preserve">Quelle: </w:t>
      </w:r>
      <w:r>
        <w:t>https://mcp.opencaselaw.ch/entscheid/zh_verwaltungsgericht__VB.2023.00026</w:t>
      </w:r>
    </w:p>
    <w:p>
      <w:r>
        <w:t>FR: ZH_VERWALTUNGSGERICHT VB.2023.00026 du 30 janvier 2023</w:t>
      </w:r>
    </w:p>
    <w:p>
      <w:r>
        <w:t>IT: ZH_VERWALTUNGSGERICHT VB.2023.00026 del 30 gennaio 2023</w:t>
      </w:r>
    </w:p>
    <w:p>
      <w:pPr>
        <w:pStyle w:val="Heading2"/>
      </w:pPr>
      <w:r>
        <w:t>Regeste</w:t>
      </w:r>
    </w:p>
    <w:p>
      <w:r>
        <w:t>Rechtsverweigerung/Rechtsverzögerung | Gegen die Nichtanhandnahme einer Aufsichtsanzeige steht kein ordentliches Rechtsmittel, sondern einzig die Aufsichtsbeschwerde an die Aufsichtsinstanz offen. Da die Beschwerdeführerin einzig rügt, dass die Beschwerdegegnerin ihre Aufsichtsbeschwerde(n) nicht behandelt habe, ist das Verwaltungsgericht für die Beurteilung des Rechtsmittels von vornherein nicht zuständig und darauf schon aus diesem Grund nicht einzutreten (E. 2). Nichteintreten. Eingang Beschwerde BGr am 27.6.23 (Fristwiederherstellungsgesuch) beim Verwaltungsgericht persönlich überbracht. Verfahren bereits rechtskräftig am 4.3.23. Auf Fristwiederherstellungsgesuch wird nicht eingetreten. BGr 5.10.23</w:t>
      </w:r>
    </w:p>
    <w:p>
      <w:pPr>
        <w:pStyle w:val="Heading2"/>
      </w:pPr>
      <w:r>
        <w:t>Erwägungen</w:t>
      </w:r>
    </w:p>
    <w:p>
      <w:r>
        <w:rPr>
          <w:b/>
        </w:rPr>
        <w:t>E. 4</w:t>
      </w:r>
    </w:p>
    <w:p>
      <w:r>
        <w:t>Die Verfahrenskosten sind umständehalber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