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VB.2023.00004 vom 6. Juli 2023</w:t>
      </w:r>
    </w:p>
    <w:p>
      <w:r>
        <w:t>ZH Verwaltungsgericht, 2023-07-06, DE</w:t>
      </w:r>
    </w:p>
    <w:p>
      <w:r>
        <w:rPr>
          <w:b/>
        </w:rPr>
        <w:t xml:space="preserve">Quelle: </w:t>
      </w:r>
      <w:r>
        <w:t>https://mcp.opencaselaw.ch/entscheid/zh_verwaltungsgericht__VB.2023.00004</w:t>
      </w:r>
    </w:p>
    <w:p>
      <w:r>
        <w:t>FR: ZH_VERWALTUNGSGERICHT VB.2023.00004 du 6 juillet 2023</w:t>
      </w:r>
    </w:p>
    <w:p>
      <w:r>
        <w:t>IT: ZH_VERWALTUNGSGERICHT VB.2023.00004 del 6 luglio 2023</w:t>
      </w:r>
    </w:p>
    <w:p>
      <w:pPr>
        <w:pStyle w:val="Heading2"/>
      </w:pPr>
      <w:r>
        <w:t>Regeste</w:t>
      </w:r>
    </w:p>
    <w:p>
      <w:r>
        <w:t>Erteilung der Niederlassungsbewilligung | [Erteilung der Niederlassungsbewilligung an einen 1991 geborenen serbischen Staatsangehörigen] Nach Art. 34 Abs. 2 AIG setzt die Erteilung der Niederlassungsbewilligung unter anderem voraus, dass sich eine ausländische Person insgesamt mindestens zehn Jahre mit einer Kurzaufenthalts- oder Aufenthaltsbewilligung in der Schweiz aufgehalten und sie während der letzten fünf Jahre ununterbrochen im Besitz einer Aufenthaltsbewilligung war (lit. a). Diese zeitlichen Voraussetzungen müssen kumulativ erfüllt sein (E. 2.1). Der Beschwerdeführer war nach seinem Stellenverlust für mehrere Monate auf Stellensuche. Während dieser Zeit war er nicht im Besitz einer Aufenthaltsbewilligung; die fünfjährige Frist gemäss Art. 34 Abs. 2 lit. a AIG begann demnach mit der Erteilung der Aufenthaltsbewilligung am 16. Juli 2020 (neu) zu laufen (E. 2.2 f.). Die prozedurale Anwesenheit des Beschwerdeführers in der Schweiz ist im Rahmen der Fünfjahresfrist nicht zu berücksichtigen (E. 2.4). Abweisung.</w:t>
      </w:r>
    </w:p>
    <w:p>
      <w:pPr>
        <w:pStyle w:val="Heading2"/>
      </w:pPr>
      <w:r>
        <w:t>Erwägungen</w:t>
      </w:r>
    </w:p>
    <w:p>
      <w:r>
        <w:rPr>
          <w:b/>
        </w:rPr>
        <w:t>E. 4</w:t>
      </w:r>
    </w:p>
    <w:p>
      <w:r>
        <w:t>Ausgangsgemäss sind die Gerichtskosten dem Beschwerdeführer aufzuerlegen (§ 65a Abs. 2 in Verbindung mit § 13 Abs. 2 Satz 1 VRG) und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