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VB.2023.00001 vom 13. September 2023</w:t>
      </w:r>
    </w:p>
    <w:p>
      <w:r>
        <w:t>ZH Verwaltungsgericht, 2023-09-13, DE</w:t>
      </w:r>
    </w:p>
    <w:p>
      <w:r>
        <w:rPr>
          <w:b/>
        </w:rPr>
        <w:t xml:space="preserve">Quelle: </w:t>
      </w:r>
      <w:r>
        <w:t>https://mcp.opencaselaw.ch/entscheid/zh_verwaltungsgericht__VB.2023.00001</w:t>
      </w:r>
    </w:p>
    <w:p>
      <w:r>
        <w:t>FR: ZH_VERWALTUNGSGERICHT VB.2023.00001 du 13 septembre 2023</w:t>
      </w:r>
    </w:p>
    <w:p>
      <w:r>
        <w:t>IT: ZH_VERWALTUNGSGERICHT VB.2023.00001 del 13 settembre 2023</w:t>
      </w:r>
    </w:p>
    <w:p>
      <w:pPr>
        <w:pStyle w:val="Heading2"/>
      </w:pPr>
      <w:r>
        <w:t>Regeste</w:t>
      </w:r>
    </w:p>
    <w:p>
      <w:r>
        <w:t>Aufenthaltsbewilligung | [Verlängerung der Aufenthaltsbewilligung eines 1982 geborenen irakischen Staatsangehörigen kurdischer Ethnie] Es kann offenbleiben, ob der Beschwerdeführer aus dem Recht auf Achtung des Privatlebens einen Aufenthaltsanspruch ableiten kann. Denn die Nichtverlängerung seiner Aufenthaltsbewilligung erweist sich - insbesondere mit Blick auf den Gesundheitszustand des Beschwerdeführers - ohnehin als unverhältnismässig (zum Ganzen E. 3). Gegenstandslosigkeit UP, Gutheissung URB. Gutheissung.</w:t>
      </w:r>
    </w:p>
    <w:p>
      <w:pPr>
        <w:pStyle w:val="Heading2"/>
      </w:pPr>
      <w:r>
        <w:t>Erwägungen</w:t>
      </w:r>
    </w:p>
    <w:p>
      <w:r>
        <w:rPr>
          <w:b/>
        </w:rPr>
        <w:t>E. 4</w:t>
      </w:r>
    </w:p>
    <w:p>
      <w:r>
        <w:t>Nach dem Gesagten ist die Beschwerde gutzuheissen und der Beschwerdegegner anzuweisen, die Aufenthaltsbewilligung des Beschwerdeführers zu verlängern.</w:t>
      </w:r>
    </w:p>
    <w:p>
      <w:r>
        <w:rPr>
          <w:b/>
        </w:rPr>
        <w:t>E. 5.1</w:t>
      </w:r>
    </w:p>
    <w:p>
      <w:r>
        <w:t>Ausgangsgemäss sind die Kosten des Rekurs- und des Beschwerdeverfahrens dem Beschwerdegegner aufzuerlegen (§ 13 Abs. 2 Satz 1 teilweise in Verbindung mit § 65a Abs. 2 VRG). Das Gesuch des Beschwerdeführers um unentgeltliche Prozessführung für das Rekurs- und das Beschwerdeverfahren wird somit gegenstandslos. Des Weiteren hat der Beschwerdegegner antragsgemäss eine angemessene Parteientschädigung von Fr. 2'000.- für das Rekurs- und Fr. 1'500.- für das Beschwerdeverfahren (jeweils zuzüglich Mehrwertsteuer) zu bezahlen (§ 17 Abs. 2 lit. a VRG).</w:t>
      </w:r>
    </w:p>
    <w:p>
      <w:r>
        <w:rPr>
          <w:b/>
        </w:rPr>
        <w:t>E. 5.2</w:t>
      </w:r>
    </w:p>
    <w:p>
      <w:r>
        <w:t>Der Beschwerdeführer ersucht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Das Gesuch des Beschwerdeführers ist angesichts seiner ausgewiesenen Mittellosigkeit und unter Berücksichtigung des Verfahrensausgangs gutzuheissen.</w:t>
      </w:r>
    </w:p>
    <w:p>
      <w:r>
        <w:rPr>
          <w:b/>
        </w:rPr>
        <w:t>E. 5.3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Die Vertreterin des Beschwerdeführers macht einen Aufwand von insgesamt 8 Stunden und 5 Minuten sowie Barauslagen von Fr. 22.45 zuzüglich Mehrwertsteuer geltend. Dieser Entschädigungsanspruch (sowie derjenige als unentgeltliche Rechtsbeiständin für das Rekursverfahren) ist durch die Bezahlung der Parteientschädigung (zzgl. Mehrwertsteuer) für das Rekurs- und das Beschwerdeverfahren an Rechtsanwältin B abgegolten. Eine allenfalls bereits erhaltene Entschädigung als unentgeltliche Rechtsbeiständin für das Rekursverfahren ist an die hier zugesprochene Entschädigung anzurechnen.</w:t>
      </w:r>
    </w:p>
    <w:p>
      <w:r>
        <w:rPr>
          <w:b/>
        </w:rPr>
        <w:t>E. 6</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