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VB.2022.00758 vom 21. Dezember 2022</w:t>
      </w:r>
    </w:p>
    <w:p>
      <w:r>
        <w:t>ZH Verwaltungsgericht, 2022-12-21, DE</w:t>
      </w:r>
    </w:p>
    <w:p>
      <w:r>
        <w:rPr>
          <w:b/>
        </w:rPr>
        <w:t xml:space="preserve">Quelle: </w:t>
      </w:r>
      <w:r>
        <w:t>https://mcp.opencaselaw.ch/entscheid/zh_verwaltungsgericht__VB.2022.00758</w:t>
      </w:r>
    </w:p>
    <w:p>
      <w:r>
        <w:t>FR: ZH_VERWALTUNGSGERICHT VB.2022.00758 du 21 décembre 2022</w:t>
      </w:r>
    </w:p>
    <w:p>
      <w:r>
        <w:t>IT: ZH_VERWALTUNGSGERICHT VB.2022.00758 del 21 dicembre 2022</w:t>
      </w:r>
    </w:p>
    <w:p>
      <w:pPr>
        <w:pStyle w:val="Heading2"/>
      </w:pPr>
      <w:r>
        <w:t>Regeste</w:t>
      </w:r>
    </w:p>
    <w:p>
      <w:r>
        <w:t>Massnahmen nach Gewaltschutzgesetz | Massnahmen nach Gewaltschutzgesetz. [Beschwerde gegen die - ohne vorgängige persönliche Anhörung der Parteien - erfolgte definitive Nichtverlängerung der Schutzmassnahmen.] Nach der Rechtsprechung ist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und damit zu einer Verletzung des rechtlichen Gehörs führt. Eine Anhörung der Gesuchstellerin bzw. des Gesuchstellers erscheint insbesondere dann geboten, wenn sie bei sich widersprechenden Aussagen der Parteien zur Klärung des Sachverhalts beitragen kann (E. 4.1). Vorliegend lässt gerade der Umstand, dass die tatsächlich wenig umfangreichen Aussagen der Parteien, welche – nicht nur – bezüglich des letzten Vorfalls auseinandergehen, ohne dass die einen aber gegenüber den anderen als glaubhafter bezeichnet werden könnten, eine Anhörung beider Parteien durch die Haftrichterin und den dadurch zu gewinnenden persönlichen Eindruck als unabdingbar erscheinen. Es wäre an der Haftrichterin gewesen, im Rahmen einer solchen hinsichtlich der aus ihrer Sicht vagen Angaben bei der Beschwerdeführerin nachzufragen – namentlich betreffend die (akute) Gefährdungssituation und den Fortbestand der Gefährdung der Beschwerdeführerin und der Tochter. Insofern ist der Sachverhalt zu wenig abgeklärt (E. 4.3). Die Verfahrenskosten sind gemäss dem Verursacherprinzip dem Bezirksgericht aufzuerlegen (E. 5.2). Teilweise Gutheissung. Rückweisung der Sache im Sinn der Erwägungen an das Bezirksgericht zur Neuentscheidung.</w:t>
      </w:r>
    </w:p>
    <w:p>
      <w:pPr>
        <w:pStyle w:val="Heading2"/>
      </w:pPr>
      <w:r>
        <w:t>Erwägungen</w:t>
      </w:r>
    </w:p>
    <w:p>
      <w:r>
        <w:rPr>
          <w:b/>
        </w:rPr>
        <w:t>E. 5.1</w:t>
      </w:r>
    </w:p>
    <w:p>
      <w:r>
        <w:t>Nach dem Gesagten ist in teilweiser Gutheissung der Beschwerde Dispositivziffer 1 der Verfügung der Haftrichterin vom 30. November 2022 aufzuheben und ist die Sache im Sinn der Erwägungen an das Bezirksgericht Bülach zur Neuentscheidung zurückzuweisen.</w:t>
      </w:r>
    </w:p>
    <w:p>
      <w:r>
        <w:rPr>
          <w:b/>
        </w:rPr>
        <w:t>E. 5.2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wären deshalb dem Beschwerdegegner aufzuerlegen (§ 65a Abs. 2 in Verbindung mit § 13 Abs. 2 Satz 1 VRG). Ergänzend zum Unterliegerprinzip und unabhängig vom Ausgang des Verfahrens kann indes auch das Verursacherprinzip zum Zug kommen (Plüss, § 13 N. 59). Infolge der festgestellten Gehörsverletzung der Beschwerdeführerin und der mangelhaften Abklärung des Sachverhalts sind die Kosten des vorliegenden Verfahrens dem Bezirksgericht Bülach aufzuerlegen. Parteientschädigungen wurden keine beantragt.</w:t>
      </w:r>
    </w:p>
    <w:p>
      <w:r>
        <w:rPr>
          <w:b/>
        </w:rPr>
        <w:t>E. 6</w:t>
      </w:r>
    </w:p>
    <w:p>
      <w:r>
        <w:t>Der vorliegende Rückweisungsentscheid stellt einen Zwischenentscheid dar (BGE 133 II 409 E. 1.2).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