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VB.2022.00666 vom 22. November 2023</w:t>
      </w:r>
    </w:p>
    <w:p>
      <w:r>
        <w:t>ZH Verwaltungsgericht, 2023-11-22, DE</w:t>
      </w:r>
    </w:p>
    <w:p>
      <w:r>
        <w:rPr>
          <w:b/>
        </w:rPr>
        <w:t xml:space="preserve">Quelle: </w:t>
      </w:r>
      <w:r>
        <w:t>https://mcp.opencaselaw.ch/entscheid/zh_verwaltungsgericht__VB.2022.00666</w:t>
      </w:r>
    </w:p>
    <w:p>
      <w:r>
        <w:t>FR: ZH_VERWALTUNGSGERICHT VB.2022.00666 du 22 novembre 2023</w:t>
      </w:r>
    </w:p>
    <w:p>
      <w:r>
        <w:t>IT: ZH_VERWALTUNGSGERICHT VB.2022.00666 del 22 novembre 2023</w:t>
      </w:r>
    </w:p>
    <w:p>
      <w:pPr>
        <w:pStyle w:val="Heading2"/>
      </w:pPr>
      <w:r>
        <w:t>Regeste</w:t>
      </w:r>
    </w:p>
    <w:p>
      <w:r>
        <w:t>Verlängerung der Aufenthaltsbewilligung | Die Beschwerdeführerin ist seit zehn Jahren zum Zweck einer Ausbildung aufenthaltsberechtigt. Nachdem sie 2018 ihr erstes Masterstudium abschloss, begann die Beschwerdeführerin ein zweites Masterstudium. Dieses verfolgte sie allerdings nicht ernsthaft, erwarb keine ECTS-Punkte und legte keine Prüfungen ab (E. 3.3). Sodann hat sie im Frühling 2023 sowieso die maximale Studienzeit erreicht. Ihr Aufenthaltszweck ist erreicht/weggefallen (E. 3.4). Abweisung.</w:t>
      </w:r>
    </w:p>
    <w:p>
      <w:pPr>
        <w:pStyle w:val="Heading2"/>
      </w:pPr>
      <w:r>
        <w:t>Erwägungen</w:t>
      </w:r>
    </w:p>
    <w:p>
      <w:r>
        <w:rPr>
          <w:b/>
        </w:rPr>
        <w:t>E. 4</w:t>
      </w:r>
    </w:p>
    <w:p>
      <w:r>
        <w:t>Nach dem Gesagten ist die Beschwerde abzuweisen. Ausgangsgemäss sind die Gerichtskosten der Beschwerdeführerin aufzuerlegen (§ 65a Abs. 2 in Verbindung mit § 13 Abs. 2 Satz 1 VRG). Ihr ist sodann keine Parteientschädigung zuzusprechen (§ 17 Abs. 2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