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VB.2022.00656 vom 10. November 2016</w:t>
      </w:r>
    </w:p>
    <w:p>
      <w:r>
        <w:t>ZH Verwaltungsgericht, 2016-11-10, DE</w:t>
      </w:r>
    </w:p>
    <w:p>
      <w:r>
        <w:rPr>
          <w:b/>
        </w:rPr>
        <w:t xml:space="preserve">Quelle: </w:t>
      </w:r>
      <w:r>
        <w:t>https://mcp.opencaselaw.ch/entscheid/zh_verwaltungsgericht__VB.2022.00656</w:t>
      </w:r>
    </w:p>
    <w:p>
      <w:r>
        <w:t>FR: ZH_VERWALTUNGSGERICHT VB.2022.00656 du 10 novembre 2016</w:t>
      </w:r>
    </w:p>
    <w:p>
      <w:r>
        <w:t>IT: ZH_VERWALTUNGSGERICHT VB.2022.00656 del 10 novembre 2016</w:t>
      </w:r>
    </w:p>
    <w:p>
      <w:pPr>
        <w:pStyle w:val="Heading2"/>
      </w:pPr>
      <w:r>
        <w:t>Regeste</w:t>
      </w:r>
    </w:p>
    <w:p>
      <w:r>
        <w:t>Bestellung als unentgeltliche Rechtsvertreterin | [Die Beschwerdeführerin machte im ausländerrechtlichen Rekursverfahren der Mitbeteiligten einen Aufwand von 24,25 Stunden geltend. Die Beschwerdegegnerin entschädigte sie für einen Aufwand von 15,75 Stunden.] Die Beschwerdegegnerin hat es unterlassen, zumindest kurz darzulegen, inwiefern der von der Beschwerdeführerin geltend gemachte Aufwand für das Verfassen der Rekursschrift unter Berücksichtigung der konkreten Umstände des Einzelfalls bei objektiver Betrachtung als zu hoch bzw. unnötig erscheint. Insofern übte sie ihr Ermessen nicht pflichtgemäss aus. Unter Berücksichtigung sämtlicher Umstände erscheint bei objektiver Betrachtung ein Zeitaufwand von insgesamt vierzehn Stunden für das Verfassen der Rekursschrift als erforderlich (E. 2). Teilweise Gutheissung.</w:t>
      </w:r>
    </w:p>
    <w:p>
      <w:pPr>
        <w:pStyle w:val="Heading2"/>
      </w:pPr>
      <w:r>
        <w:t>Erwägungen</w:t>
      </w:r>
    </w:p>
    <w:p>
      <w:r>
        <w:rPr>
          <w:b/>
        </w:rPr>
        <w:t>E. 4</w:t>
      </w:r>
    </w:p>
    <w:p>
      <w:r>
        <w:t>E ,</w:t>
      </w:r>
    </w:p>
    <w:p>
      <w:r>
        <w:rPr>
          <w:b/>
        </w:rPr>
        <w:t>E. 5</w:t>
      </w:r>
    </w:p>
    <w:p>
      <w:r>
        <w:t>Zur Rechtsmittelbelehrung des nachstehenden Dispositivs ist Folgendes zu erläutern: Soweit in der Hauptsache ein Anwesenheitsanspruch geltend gemacht werden könnte, ist Beschwerde in öffentlich-rechtlichen Angelegenheiten nach Art. 82 ff. des Bundesgerichtsgesetzes vom 17. Juni 2005 (BGG, SR 173.110) zu erheben (vgl. BGr, 10. November 2016, 2C_253/2016,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