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VB.2022.00636 vom 28. Oktober 2022</w:t>
      </w:r>
    </w:p>
    <w:p>
      <w:r>
        <w:t>ZH Verwaltungsgericht, 2022-10-28, DE</w:t>
      </w:r>
    </w:p>
    <w:p>
      <w:r>
        <w:rPr>
          <w:b/>
        </w:rPr>
        <w:t xml:space="preserve">Quelle: </w:t>
      </w:r>
      <w:r>
        <w:t>https://mcp.opencaselaw.ch/entscheid/zh_verwaltungsgericht__VB.2022.00636</w:t>
      </w:r>
    </w:p>
    <w:p>
      <w:r>
        <w:t>FR: ZH_VERWALTUNGSGERICHT VB.2022.00636 du 28 octobre 2022</w:t>
      </w:r>
    </w:p>
    <w:p>
      <w:r>
        <w:t>IT: ZH_VERWALTUNGSGERICHT VB.2022.00636 del 28 ottobre 2022</w:t>
      </w:r>
    </w:p>
    <w:p>
      <w:pPr>
        <w:pStyle w:val="Heading2"/>
      </w:pPr>
      <w:r>
        <w:t>Regeste</w:t>
      </w:r>
    </w:p>
    <w:p>
      <w:r>
        <w:t>Bewilligung der Halbgefangenschaft (Kostenauflage) | Bewilligung der Halbgefangeschaft. Der Beschwerdeführer will nur unter der Bedingung, dass ihm für das Beschwerdeverfahren die unentgeltliche Prozessführung gewährt wird, Beschwerde erheben. Dies ist jedoch unzulässig (E. 2.2). Nichteintreten.</w:t>
      </w:r>
    </w:p>
    <w:p>
      <w:pPr>
        <w:pStyle w:val="Heading2"/>
      </w:pPr>
      <w:r>
        <w:t>Erwägungen</w:t>
      </w:r>
    </w:p>
    <w:p>
      <w:r>
        <w:rPr>
          <w:b/>
        </w:rPr>
        <w:t>E. 3</w:t>
      </w:r>
    </w:p>
    <w:p>
      <w:r>
        <w:t>Bei diesem Verfahrensausgang wären die Gerichtskosten dem Beschwerdeführer aufzuerlegen (§ 65a Abs. 2 in Verbindung mit § 13 Abs. 2 VRG). Unter den vorliegenden Umständen scheint es indes ausnahmsweise gerechtfertigt, die Gerichtskosten auf die Gerichtskasse zu nehmen. Das Gesuch des Beschwerdeführers um Gewährung der unentgeltlichen Prozessführung für das Beschwerdeverfahren ist demzufolge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