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VB.2022.00587 vom 1. März 2023</w:t>
      </w:r>
    </w:p>
    <w:p>
      <w:r>
        <w:t>ZH Verwaltungsgericht, 2023-03-01, DE</w:t>
      </w:r>
    </w:p>
    <w:p>
      <w:r>
        <w:rPr>
          <w:b/>
        </w:rPr>
        <w:t xml:space="preserve">Quelle: </w:t>
      </w:r>
      <w:r>
        <w:t>https://mcp.opencaselaw.ch/entscheid/zh_verwaltungsgericht__VB.2022.00587</w:t>
      </w:r>
    </w:p>
    <w:p>
      <w:r>
        <w:t>FR: ZH_VERWALTUNGSGERICHT VB.2022.00587 du 1 mars 2023</w:t>
      </w:r>
    </w:p>
    <w:p>
      <w:r>
        <w:t>IT: ZH_VERWALTUNGSGERICHT VB.2022.00587 del 1 marzo 2023</w:t>
      </w:r>
    </w:p>
    <w:p>
      <w:pPr>
        <w:pStyle w:val="Heading2"/>
      </w:pPr>
      <w:r>
        <w:t>Regeste</w:t>
      </w:r>
    </w:p>
    <w:p>
      <w:r>
        <w:t>Wegweisung | Der hier zur Beurteilung stehende Aufenthalt des Beschwerdeführers in der Schweiz war von Anfang an unrechtmässig, weshalb sich seine Wegweisung auf Art. 64 Abs. 1 lit. a AIG stützen lässt. Nicht zu beanstanden ist sodann die Ausdehnung der Wegweisung auf den gesamten Schengen-Raum und das Gebiet der EU. Namentlich steht dem nicht entgegen, dass der Beschwerdeführer vor seiner Einreise in die Schweiz in Deutschland um (Wieder-)Erteilung der Niederlassungserlaubnis ersucht hat (zum Ganzen E. 3).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</w:t>
      </w:r>
    </w:p>
    <w:p>
      <w:r>
        <w:rPr>
          <w:b/>
        </w:rPr>
        <w:t>E. 5</w:t>
      </w:r>
    </w:p>
    <w:p>
      <w:r>
        <w:t>Bei diesem Verfahrensausgang sind die Gerichtskosten dem Beschwerdeführer aufzuerlegen (§ 65a Abs. 2 in Verbindung mit § 13 Abs. 2 Satz 1 VRG). Diesem steht zudem keine Parteientschädigung zu (§ 17 Abs. 2 VRG).</w:t>
      </w:r>
    </w:p>
    <w:p>
      <w:r>
        <w:rPr>
          <w:b/>
        </w:rPr>
        <w:t>E. 6</w:t>
      </w:r>
    </w:p>
    <w:p>
      <w:r>
        <w:t>Der vorliegende Entscheid betreffend die Wegweisung kann mit subsidiärer Verfassungsbeschwerde angefochten werden (Art. 83 lit. c Ziff. 4 des Bundesgerichtsgesetzes vom 17. Juni 2005 [BGG, SR 173.110]; vgl. dazu BGr, 25. Juni 2018, 2D_32/2018, E. 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