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VB.2022.00567 vom 10. November 2022</w:t>
      </w:r>
    </w:p>
    <w:p>
      <w:r>
        <w:t>ZH Verwaltungsgericht, 2022-11-10, DE</w:t>
      </w:r>
    </w:p>
    <w:p>
      <w:r>
        <w:rPr>
          <w:b/>
        </w:rPr>
        <w:t xml:space="preserve">Quelle: </w:t>
      </w:r>
      <w:r>
        <w:t>https://mcp.opencaselaw.ch/entscheid/zh_verwaltungsgericht__VB.2022.00567</w:t>
      </w:r>
    </w:p>
    <w:p>
      <w:r>
        <w:t>FR: ZH_VERWALTUNGSGERICHT VB.2022.00567 du 10 novembre 2022</w:t>
      </w:r>
    </w:p>
    <w:p>
      <w:r>
        <w:t>IT: ZH_VERWALTUNGSGERICHT VB.2022.00567 del 10 novembre 2022</w:t>
      </w:r>
    </w:p>
    <w:p>
      <w:pPr>
        <w:pStyle w:val="Heading2"/>
      </w:pPr>
      <w:r>
        <w:t>Regeste</w:t>
      </w:r>
    </w:p>
    <w:p>
      <w:r>
        <w:t>Versetzung | [Begründungsmangel] Nach § 54 Abs. 1 VRG muss die Beschwerdeschrift einen Antrag und dessen Begründung enthalten. Sowohl Antrag als auch Begründung sind eigentliche Gültigkeitserfordernisse, deren Nichterfüllung zu einem Nichteintretensentscheid führt (E. 2.1). Die Eingabe des Beschwerdeführers vom 23. September 2022 genügt den Anforderungen des § 54 Abs. 1 VRG nicht. Der Beschwerdeführer wurde deshalb zu Recht zur Einreichung einer verbesserten Beschwerdeschrift aufgefordert. Nachdem der Beschwerdeführer keine ausreichend verbesserte Beschwerdeschrift einreichte, ist auf sein Rechtsmittel androhungsgemäss nicht einzutreten (E. 2.3 f.). Nichteintreten.</w:t>
      </w:r>
    </w:p>
    <w:p>
      <w:pPr>
        <w:pStyle w:val="Heading2"/>
      </w:pPr>
      <w:r>
        <w:t>Erwägungen</w:t>
      </w:r>
    </w:p>
    <w:p>
      <w:r>
        <w:rPr>
          <w:b/>
        </w:rPr>
        <w:t>E. 3</w:t>
      </w:r>
    </w:p>
    <w:p>
      <w:r>
        <w:t>Nachdem der Beschwerdeführer keine ausreichend verbesserte bzw. den ihm mit Präsidialverfügung vom 27. September 2022 – erneut (vgl. VGr, 22. Dezember 2022, E. 2.3 ff.) – aufgezeigten formellen Erfordernissen entsprechende Beschwerdeschrift einreichte, ist auf sein Rechtsmittel androhungsgemäss nicht einzutreten.</w:t>
      </w:r>
    </w:p>
    <w:p>
      <w:r>
        <w:rPr>
          <w:b/>
        </w:rPr>
        <w:t>E. 4</w:t>
      </w:r>
    </w:p>
    <w:p>
      <w:r>
        <w:t>Die Gerichtskosten sind dem unterliegenden Beschwerdeführer aufzuerlegen (§ 65a Abs. 2 in Verbindung mit § 13 Abs. 2 Satz 1 VRG). Eine Parteientschädigung bleibt ihm verwehrt (§ 17 Abs. 2 VRG). Soweit er im verwaltungsgerichtlichen Verfahren unentgeltliche Rechtspflege beanspruchen wollte, wäre sein Ersuchen zufolge offensichtlicher Aussichtslosigkeit des Rechtsmittels abzuweisen (vgl. Kaspar Plüss, Kommentar VRG, § 16 N.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