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VB.2022.00496 vom 21. Dezember 2023</w:t>
      </w:r>
    </w:p>
    <w:p>
      <w:r>
        <w:t>ZH Verwaltungsgericht, 2023-12-21, DE</w:t>
      </w:r>
    </w:p>
    <w:p>
      <w:r>
        <w:rPr>
          <w:b/>
        </w:rPr>
        <w:t xml:space="preserve">Quelle: </w:t>
      </w:r>
      <w:r>
        <w:t>https://mcp.opencaselaw.ch/entscheid/zh_verwaltungsgericht__VB.2022.00496</w:t>
      </w:r>
    </w:p>
    <w:p>
      <w:r>
        <w:t>FR: ZH_VERWALTUNGSGERICHT VB.2022.00496 du 21 décembre 2023</w:t>
      </w:r>
    </w:p>
    <w:p>
      <w:r>
        <w:t>IT: ZH_VERWALTUNGSGERICHT VB.2022.00496 del 21 dicembre 2023</w:t>
      </w:r>
    </w:p>
    <w:p>
      <w:pPr>
        <w:pStyle w:val="Heading2"/>
      </w:pPr>
      <w:r>
        <w:t>Regeste</w:t>
      </w:r>
    </w:p>
    <w:p>
      <w:r>
        <w:t>Informationszugang (Rechtsverweigerung) | Informationszugang (Rechtsverweigerung). Die Weiterleitung an die zuständige Instanz gemäss § 5 Abs. 2 VRG kann auf formelle oder informelle Weise erfolgen: Wird versehentlich eine eindeutig unzuständige Instanz angerufen, so wird kein Verfahren eröffnet, und die Sache kann formlos – unter Benachrichtigung des Absenders – an die zuständige Verwaltungsbehörde weitergeleitet werden. Ist die Zuständigkeit der angerufenen Instanz hingegen unklar oder umstritten, so muss ein Verfahren eröffnet werden, und eine allfällige Weiterleitung an die zuständige Instanz hat im Rahmen eines anfechtbaren Nichteintretensbeschlusses zu erfolgen (E. 2.3). Die Justizdirektion leitete die – vom Verwaltungsgericht übermittelte – Eingabe der Beschwerdeführerin zuständigkeitshalber an die Oberstaatsanwaltschaft weiter. Dies tat sie im Sinn von § 5 Abs. 2 VRG und formlos. Dasselbe tat daraufhin – teilweise (im Verhältnis zum Obergericht) – auch die Oberstaatsanwaltschaft. Über die Zuständigkeit für die Behandlung der Löschungs- bzw. Auskunftsbegehren der Beschwerdeführerin bestand zwischen diesen Institutionen in genügender Weise Einigkeit. Für die Beschwerde der Beschwerdeführerin liegt die Zuständigkeit beim Verwaltungsgericht, weil sich diese gegen die Justizdirektion als Vorinstanz richtete. Anstatt damit beim Verwaltungsgericht eine Rechtsverweigerung und Rechtsverzögerung seitens der Justizdirektion geltend zu machen, hätte die Beschwerdeführerin aber zuvor die Justizdirektion um Erlass eines anfechtbaren Entscheids ersuchen müssen. Bereits aus diesem Grund ist die Beschwerde abzuweisen. Inhaltlich rügt die Beschwerdeführerin vor Verwaltungsgericht gar nicht, die Weiterleitung durch die Justizdirektion an die Oberstaatsanwaltschaft sei zu Unrecht erfolgt. Vielmehr beanstandet sie, dass die Justizdirektion der Oberstaatsanwaltschaft nicht formell eine Frist ansetzte, um ihre Begehren zu behandeln. Eine Rechtsverweigerung oder Rechtsverzögerung seitens der Oberstaatsanwaltschaft machtdie Beschwerdeführerin allerdings nicht konkret geltend und derartige Rechtsmängel sind im Übrigen auch nicht ersichtlich, soweit sie überhaupt vom Verwaltungsgericht zu beurteilen sind. Die Rügen der Rechtsverweigerung und Rechtsverzögerung erweisen sich deshalb nicht als stichhaltig (E. 2.4). Abweisung.</w:t>
      </w:r>
    </w:p>
    <w:p>
      <w:pPr>
        <w:pStyle w:val="Heading2"/>
      </w:pPr>
      <w:r>
        <w:t>Erwägungen</w:t>
      </w:r>
    </w:p>
    <w:p>
      <w:r>
        <w:rPr>
          <w:b/>
        </w:rPr>
        <w:t>E. 3</w:t>
      </w:r>
    </w:p>
    <w:p>
      <w:r>
        <w:t>Nach dem Gesagten ist die Beschwerde abzuweisen. Ausgangsgemäss sind die Gerichtskosten der Beschwerdeführerin aufzuerlegen (§ 65a Abs. 2 in Verbindung mit § 13 Abs. 2 VRG). Sie sind mit dem geleisteten Kostenvorschuss von Fr. 1'500.- zu verrechnen. Eine Umtriebsentschädigung hat die Beschwerdeführerin nicht verlangt und stünde ihr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