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VB.2022.00457 vom 13. Oktober 2022</w:t>
      </w:r>
    </w:p>
    <w:p>
      <w:r>
        <w:t>ZH Verwaltungsgericht, 2022-10-13, DE</w:t>
      </w:r>
    </w:p>
    <w:p>
      <w:r>
        <w:rPr>
          <w:b/>
        </w:rPr>
        <w:t xml:space="preserve">Quelle: </w:t>
      </w:r>
      <w:r>
        <w:t>https://mcp.opencaselaw.ch/entscheid/zh_verwaltungsgericht__VB.2022.00457</w:t>
      </w:r>
    </w:p>
    <w:p>
      <w:r>
        <w:t>FR: ZH_VERWALTUNGSGERICHT VB.2022.00457 du 13 octobre 2022</w:t>
      </w:r>
    </w:p>
    <w:p>
      <w:r>
        <w:t>IT: ZH_VERWALTUNGSGERICHT VB.2022.00457 del 13 ottobre 2022</w:t>
      </w:r>
    </w:p>
    <w:p>
      <w:pPr>
        <w:pStyle w:val="Heading2"/>
      </w:pPr>
      <w:r>
        <w:t>Regeste</w:t>
      </w:r>
    </w:p>
    <w:p>
      <w:r>
        <w:t>Zulassung zum Studiengang Master of Law | Dem Beschwerdeführer wurde Anfang Oktober 2022 das Masterdiplom ausgehändigt, weshalb das Verfahren als gegenstandslos geworden abzuschreiben ist.</w:t>
      </w:r>
    </w:p>
    <w:p>
      <w:pPr>
        <w:pStyle w:val="Heading2"/>
      </w:pPr>
      <w:r>
        <w:t>Erwägungen</w:t>
      </w:r>
    </w:p>
    <w:p>
      <w:r>
        <w:rPr>
          <w:b/>
        </w:rPr>
        <w:t>E. 4</w:t>
      </w:r>
    </w:p>
    <w:p>
      <w:r>
        <w:t>Zur Rechtsmittelbelehrung des nachfolgenden Urteilsdispositivs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eigentlichen Prüfung, sondern organisatorische bzw. verfahrensrechtliche Gesichtspunkte Gegenstand des Verfahrens sind, wird dies vom Ausschlussgrund nicht erfasst und es steht die Beschwerde in öffentlich-rechtlichen Angelegenheiten nach Art. 82 ff. BGG zur Verfügung (vgl. BGE 136 I 229 E. 1).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