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VB.2022.00422 vom 31. Januar 2023</w:t>
      </w:r>
    </w:p>
    <w:p>
      <w:r>
        <w:t>ZH Verwaltungsgericht, 2023-01-31, DE</w:t>
      </w:r>
    </w:p>
    <w:p>
      <w:r>
        <w:rPr>
          <w:b/>
        </w:rPr>
        <w:t xml:space="preserve">Quelle: </w:t>
      </w:r>
      <w:r>
        <w:t>https://mcp.opencaselaw.ch/entscheid/zh_verwaltungsgericht__VB.2022.00422</w:t>
      </w:r>
    </w:p>
    <w:p>
      <w:r>
        <w:t>FR: ZH_VERWALTUNGSGERICHT VB.2022.00422 du 31 janvier 2023</w:t>
      </w:r>
    </w:p>
    <w:p>
      <w:r>
        <w:t>IT: ZH_VERWALTUNGSGERICHT VB.2022.00422 del 31 gennaio 2023</w:t>
      </w:r>
    </w:p>
    <w:p>
      <w:pPr>
        <w:pStyle w:val="Heading2"/>
      </w:pPr>
      <w:r>
        <w:t>Regeste</w:t>
      </w:r>
    </w:p>
    <w:p>
      <w:r>
        <w:t>Nichtverlängerung der Aufenthaltsbewilligung | [Die Aufenthaltsbewilligung der Beschwerdeführenden 1-4 wurde aufgrund der Verschuldung des Beschwerdeführers 1 nicht verlängert.] Nach der Scheidung des Beschwerdeführers 1 von seiner ersten Ehefrau, mit welcher er ein gemeinsames Kind, den Beschwerdeführer 5, hat, verlängerte der Beschwerdegegner dem Beschwerdeführer 1 in Anerkennung eines nachehelichen Härtefalls die Aufenthaltsbewilligung, weshalb Letzterer auch heute noch über einen selbständigen Aufenthaltsanspruch in der Schweiz verfügt (E. 3.1). Es ist gesetzlich nicht festgelegt, wie hoch die Verschuldung in quantitativer Hinsicht sein muss, um den Widerrufsgrund von Art. 62 Abs. 1 lit. c AIG wegen Schuldenwirtschaft zu erfüllen, weshalb ein Widerruf der Aufenthaltsbewilligung des Beschwerdeführers 1 trotz seiner reduzierten Verschuldung infrage kommt. Die Verschuldung des Beschwerdeführers 1 ist diesem auch qualifiziert vorwerfbar, womit der Widerrufsgrund erfüllt ist (E. 3.3). Eine Wegweisung der Beschwerdeführenden 1-4 erweist sich nur deshalb als unverhältnismässig, weil damit der Kontakt des Beschwerdeführers 1 zum Beschwerdeführer 5 abbrechen würde und das Kindswohl des Beschwerdeführers 5 momentan zwingend einen gewissen Vater-Sohn-Kontakt gebietet (E. 3.5 f.). Gegenstandslosigkeit UP/Gutheissung URB. Gutheissung.</w:t>
      </w:r>
    </w:p>
    <w:p>
      <w:pPr>
        <w:pStyle w:val="Heading2"/>
      </w:pPr>
      <w:r>
        <w:t>Erwägungen</w:t>
      </w:r>
    </w:p>
    <w:p>
      <w:r>
        <w:rPr>
          <w:b/>
        </w:rPr>
        <w:t>E. 4</w:t>
      </w:r>
    </w:p>
    <w:p>
      <w:r>
        <w:t>Die Beschwerde ist gutzuheissen. Der Beschwerdegegner ist anzuweisen, den Beschwerdeführenden 1–4 die Aufenthaltsbewilligung zu verlängern.</w:t>
      </w:r>
    </w:p>
    <w:p>
      <w:r>
        <w:rPr>
          <w:b/>
        </w:rPr>
        <w:t>E. 5.1</w:t>
      </w:r>
    </w:p>
    <w:p>
      <w:r>
        <w:t>Ausgangsgemäss sind die Kosten des Rekurs- und des Beschwerdeverfahrens dem Beschwerdegegner aufzuerlegen (§ 13 Abs. 2 Satz 1 teilweise in Verbindung mit § 65a Abs. 2 VRG). Desgleichen hat dieser der Rechtsvertreterin der Beschwerdeführenden eine angemessene Parteientschädigung von Fr. 2'000.- zuzüglich Mehrwertsteuer für das Rekurs- und Fr. 2'000.- zuzüglich Mehrwertsteuer für das Beschwerdeverfahren zu bezahlen (§ 17 Abs. 2 lit. a VRG). Die Parteientschädigung für das Rekursverfahren ist allenfalls mit der bereits empfangenen Entschädigung als unentgeltliche Rechtsbeiständin für das Rekursverfahren zu verrechnen.</w:t>
      </w:r>
    </w:p>
    <w:p>
      <w:r>
        <w:rPr>
          <w:b/>
        </w:rPr>
        <w:t>E. 5.2</w:t>
      </w:r>
    </w:p>
    <w:p>
      <w:r>
        <w:t>Die Beschwerdeführenden ersuchen auch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Beschwerdeverfahren gegenstandslos. Die Beschwerdeführenden sind offenkundig mittellos, die Rechtsmittelerhebung war begründet, und die Rechtsvertretung erweist sich angesichts der sich stellenden Rechtsfragen als notwendig. Demnach ist den Beschwerdeführenden die unentgeltliche Rechtsverbeiständung für das Beschwerdeverfahren zu gewähren und ihnen in der Person von Rechtsanwältin F eine unentgeltliche Rechtsbeiständin für das Beschwerdeverfahren beizugeben.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Rechtsanwältin F macht einen Aufwand von 18,65 Stunden sowie Spesen im Betrag von Fr. 91.90 geltend. Nachdem Rechtsanwältin F die Beschwerdeführenden bereits im vorinstanzlichen Verfahren vertreten hatte und ihr demnach bei der Ausarbeitung der Beschwerde die Sach- und Rechtslage bereits bekannt war, erscheint der geltend gemachte Stundenaufwand als zu hoch ( vgl. BGr, 18. Mai 2021, 2C_816/2020, E. 4.5.3 – 21. Februar 2013, 2C_101/2013, E. 3; Kaspar Plüss in: Alain Griffel [Hrsg.], Kommentar zum Verwaltungsrechtspflegegesetz des Kantons Zürich [VRG], 3. A., Zürich etc. 2014, § 16 N. 90). Praxisgemäss wird ein Aufwand von acht bis zwölf Stunden entschädigt. Da es sich hier um einen aufwendigeren Fall handelte, ist ein solcher von 14 Stunden als angemessen zu qualifizieren; die Honorarnote von Rechtsanwältin F ist entsprechend zu kürzen. Damit ist Rechtsanwältin F unter Anrechnung der Parteientschädigung von Fr. 2'000.- für das Beschwerdeverfahren mit Fr. 1'262.15 (inklusive Mehrwertsteuer) aus der Gerichtskasse zu entschädigen.</w:t>
      </w:r>
    </w:p>
    <w:p>
      <w:r>
        <w:rPr>
          <w:b/>
        </w:rPr>
        <w:t>E. 5.4</w:t>
      </w:r>
    </w:p>
    <w:p>
      <w:r>
        <w:t>Abschliessend gilt es die Beschwerdeführenden 1 und 2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