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VB.2022.00322 vom 13. Oktober 2022</w:t>
      </w:r>
    </w:p>
    <w:p>
      <w:r>
        <w:t>ZH Verwaltungsgericht, 2022-10-13, DE</w:t>
      </w:r>
    </w:p>
    <w:p>
      <w:r>
        <w:rPr>
          <w:b/>
        </w:rPr>
        <w:t xml:space="preserve">Quelle: </w:t>
      </w:r>
      <w:r>
        <w:t>https://mcp.opencaselaw.ch/entscheid/zh_verwaltungsgericht__VB.2022.00322</w:t>
      </w:r>
    </w:p>
    <w:p>
      <w:r>
        <w:t>FR: ZH_VERWALTUNGSGERICHT VB.2022.00322 du 13 octobre 2022</w:t>
      </w:r>
    </w:p>
    <w:p>
      <w:r>
        <w:t>IT: ZH_VERWALTUNGSGERICHT VB.2022.00322 del 13 ottobre 2022</w:t>
      </w:r>
    </w:p>
    <w:p>
      <w:pPr>
        <w:pStyle w:val="Heading2"/>
      </w:pPr>
      <w:r>
        <w:t>Regeste</w:t>
      </w:r>
    </w:p>
    <w:p>
      <w:r>
        <w:t>Aufnahme in das schweizerische Personenstandsregister INFOSTAR und Ehevorbereitung | [Der Beschwerdeführer, ein ghanaischer Staatsangehöriger, ersuchte 2019 das Zivilstandsamt um Durchführung des Vorbereitungsverfahrens für die Eheschliessung. Das Zivilstandsamt leitete in der Folge die Geburtsurkunde des Beschwerdeführers und seine Ledigkeitsbescheinigung zur Echtheitsprüfung an die Schweizer Vertretung in Ghana weiter, welche die Beglaubigung der Unterlagen veweigerte, da die Identität des Beschwerdeführers nicht eindeutig geklärt sei. Im Jahr 2021 verweigerte das Zivilstandsamt dem Beschwerdeführer die Aufnahme in das schweizerische Personenstandsregister. Im Rekursverfahren reichte der Beschwerdeführer Kopien eines neu ausgestellten ghanaischen Reisepasses ein.] Die durch den Bericht der Vertrauensperson der Schweizer Botschaft in Ghana aufgeworfenen Zweifel an der Identität des Beschwerdeführers wären seit dem Vorliegen eines ghanaischen Reisepasses ausgeräumt, wenn sich der Reisepass des Beschwerdeführers als echt bestätigen würde. Die durch das Verwaltungsgericht getätigten Sachverhaltsabklärungen haben sodann keine Umstände hervorgebracht, aus denen hervorginge, dass der Beschwerdeführer bereits unter einer anderen Identität in die Schweiz eingereist wäre. Somit wäre die Identität des Beschwerdeführers nachgewiesen, und der Beschwerdegegner wäre gehalten, das Aufnahmeverfahren des Beschwerdeführers in das Personenstandsregister sowie das Ehevorbereitungsverfahren der Beschwerdeführenden fortzusetzen (E. 3.2). Teilweise Gutheissung. Rückweisung an den Beschwerdegegner.</w:t>
      </w:r>
    </w:p>
    <w:p>
      <w:pPr>
        <w:pStyle w:val="Heading2"/>
      </w:pPr>
      <w:r>
        <w:t>Erwägungen</w:t>
      </w:r>
    </w:p>
    <w:p>
      <w:r>
        <w:rPr>
          <w:b/>
        </w:rPr>
        <w:t>E. 4</w:t>
      </w:r>
    </w:p>
    <w:p>
      <w:r>
        <w:t>Nach dem Gesagten ist die Beschwerde teilweise gutzuheissen und die Angelegenheit im Sinn der Erwägungen an den Beschwerdegegner zurückzuweisen.</w:t>
      </w:r>
    </w:p>
    <w:p>
      <w:r>
        <w:rPr>
          <w:b/>
        </w:rPr>
        <w:t>E. 5</w:t>
      </w:r>
    </w:p>
    <w:p>
      <w:r>
        <w:t>Die (Sprung-)Rückweisung zur erneuten Entscheidung ist in Bezug auf die Regelung der Nebenfolgen als Obsiegen zu behandeln, sofern die infolge der Rückweisung vorzunehmende neue Beurteilung zu einer Gutheissung des Antrags führen kann (BGr, 28. April 2014, 2C_846/2013, E. 3.2 f. mit Hinweisen; VGr, 25. November 2021, VB.2021.00514, E. 4.1). Demnach haben die Beschwerdeführenden als obsiegend zu gelten und sind die Kosten des Rekurs- und des Beschwerdeverfahrens dem Beschwerdegegner aufzuerlegen (§ 13 Abs. 2 Satz 1 VRG teilweise in Verbindung mit § 65a Abs. 2 VRG). Der Beschwerdegegner ist sodann zu verpflichten, den Beschwerdeführenden für das Rekurs- und das Beschwerdeverfahren eine angemessene Parteientschädigung zu bezahlen (§ 17 Abs. 2 VRG).</w:t>
      </w:r>
    </w:p>
    <w:p>
      <w:r>
        <w:rPr>
          <w:b/>
        </w:rPr>
        <w:t>E. 6</w:t>
      </w:r>
    </w:p>
    <w:p>
      <w:r>
        <w:t>Zur Rechtsmittelbelehrung des nachstehenden Dispositivs ist Folgendes zu erläutern: Beim vorliegenden Urteil handelt es sich um einen Rückweisungsentscheid. Ein solcher wird grundsätzlich als Zwischenentscheid qualifiziert, der sich nur unter den Voraussetzungen von Art. 93 Abs. 1 des Bundesgerichtsgesetzes vom 17. Juni 2005 (BGG, SR 173.110) weiterziehen lässt (BGE 134 II 137 E. 1.3.2). Zwischenentscheide sind vor Bundesgericht nur dann mit Beschwerde in Zivilsachen (Art. 72 ff. BGG)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