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VB.2022.00321 vom 17. Mai 2023</w:t>
      </w:r>
    </w:p>
    <w:p>
      <w:r>
        <w:t>ZH Verwaltungsgericht, 2023-05-17, DE</w:t>
      </w:r>
    </w:p>
    <w:p>
      <w:r>
        <w:rPr>
          <w:b/>
        </w:rPr>
        <w:t xml:space="preserve">Quelle: </w:t>
      </w:r>
      <w:r>
        <w:t>https://mcp.opencaselaw.ch/entscheid/zh_verwaltungsgericht__VB.2022.00321</w:t>
      </w:r>
    </w:p>
    <w:p>
      <w:r>
        <w:t>FR: ZH_VERWALTUNGSGERICHT VB.2022.00321 du 17 mai 2023</w:t>
      </w:r>
    </w:p>
    <w:p>
      <w:r>
        <w:t>IT: ZH_VERWALTUNGSGERICHT VB.2022.00321 del 17 maggio 2023</w:t>
      </w:r>
    </w:p>
    <w:p>
      <w:pPr>
        <w:pStyle w:val="Heading2"/>
      </w:pPr>
      <w:r>
        <w:t>Regeste</w:t>
      </w:r>
    </w:p>
    <w:p>
      <w:r>
        <w:t>Führerausweisentzug | Missachten des Vortrittsrechts im Kreisel. Bindung an den Strafbefehl (E. 2). Wer zur Gewährung des Vortritts verpflichtet ist, darf den Vortrittsberechtigten in seiner Fahrt nicht behindern. Er hat seine Geschwindigkeit frühzeitig zu mässigen und, wenn er warten muss, vor Beginn der Verzweigung zu halten. Vor der Einfahrt in einen Kreisverkehrsplatz muss der Führer die Geschwindigkeit mässigen und den im Kreis von links herannahenden Fahrzeugen den Vortritt lassen (E. 3.2). Die vom Beschwerdeführer vorliegend geschaffene konkrete Gefahr für Dritte hat sich in einem Personenschaden und Sachschaden manifestiert und kann somit nicht mehr als leicht eingestuft werden (E. 3.4). Ob der Motorradfahrer die Geschwindigkeit im Kreisel hätte reduzieren müssen, ist für die Kategorisierung der Widerhandlung als leicht oder mittelschwer ebenfalls nicht von Belang, da das Administrativmassnahmenrecht ebenso wie das Strafrecht keine Verschuldenskompensation kennt (E. 3.5).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2.1</w:t>
      </w:r>
    </w:p>
    <w:p>
      <w:r>
        <w:t>Am 1. Februar 2021, um ca. 11.50 Uhr, lenkte der Beschwerdeführer den Personenwagen mit dem Kennzeichen 01 auf der B-Srasse in C bis zum Kreisverkehrsplatz. Er beabsichtigte, in diesen einzufahren und ihn in Richtung D-Strasse zu verlassen. Beim Einfahren in den Kreisverkehr kollidierte er mit dem sich im Kreisverkehr von links herangenahten dreirädrigen Kleinmotorrad mit Anhänger eines Postboten.</w:t>
      </w:r>
    </w:p>
    <w:p>
      <w:r>
        <w:rPr>
          <w:b/>
        </w:rPr>
        <w:t>E. 2.2</w:t>
      </w:r>
    </w:p>
    <w:p>
      <w:r>
        <w:t>Gestützt darauf wurde der Beschwerdeführer mit Strafbefehl des Statthalteramts des Bezirks Pfäffikon vom 14. Oktober 2021 wegen fahrlässiger Verletzung der Verkehrsregeln (Nichtgewähren des Vortritts im Kreisel) im Sinn von Art. 27 Abs. 1 des Strassenverkehrsgesetzes vom 19. Dezember 1958 (SVG), Art. 14 Abs. 1 der Verkehrsregelnverordnung vom 13. November 1962 (VRV) sowie Art. 24 Abs. 4 der Signalisationsverordnung vom 5. September 1979 (SSV) schuldig gesprochen. Nachdem der Strafbefehl in Rechtskraft erwachsen war, entzog die Beschwerdegegnerin dem Beschwerdeführer aufgrund einer mittelschweren Widerhandlung gegen die Strassenverkehrsvorschriften für die Dauer von einem Monat den Führerausweis.</w:t>
      </w:r>
    </w:p>
    <w:p>
      <w:r>
        <w:rPr>
          <w:b/>
        </w:rPr>
        <w:t>E. 2.3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In der rechtlichen Würdigung des Sachverhalts – namentlich auch des Verschuldens – ist die Verwaltungsbehörde demgegenüber frei, ausser die rechtliche Qualifikation hängt stark von der Würdigung von Tatsachen ab, die der Strafrichter besser kennt, etwa weil er die beschuldigte Person persönlich einvernommen hat. Auch in diesem Zusammenhang hat sie jedoch den eingangs genannten Grundsatz, widersprüchliche Urteile zu vermeiden, gebührend zu berücksichtigen (BGr, 30. November 2020, 1C_210/2020, E. 2.3).</w:t>
      </w:r>
    </w:p>
    <w:p>
      <w:r>
        <w:rPr>
          <w:b/>
        </w:rPr>
        <w:t>E. 3.1</w:t>
      </w:r>
    </w:p>
    <w:p>
      <w:r>
        <w:t>Nach Widerhandlungen gegen Strassenverkehrsvorschriften, bei denen das Verfahren nach dem Ordnungsbussengesetz vom 18. März 2016 (OBG) – wie vorliegend – ausgeschlossen ist, wird der Führerausweis entzogen oder eine Verwarnung ausgesprochen (Art. 16 Abs. 2 SVG). 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7. September 2017, 1C_250/2017, E. 2.2; 12. Dezember 2013, 1C_746/2013, E. 2.3). Eine Gefahr für die Sicherheit anderer im Sinn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(BGr, 28. März 2018, 1C_650/2017, E. 2.1). Zusammen mit den leichten werden die mittelschweren Widerhandlungen gegen das Strassenverkehrsgesetz von Art. 90 Abs. 1 SVG als einfache Verkehrsregelverletzungen erfasst (BGE 135 II 138 E. 2.4).</w:t>
      </w:r>
    </w:p>
    <w:p>
      <w:r>
        <w:rPr>
          <w:b/>
        </w:rPr>
        <w:t>E. 3.2</w:t>
      </w:r>
    </w:p>
    <w:p>
      <w:r>
        <w:t>Nach Art. 27 Abs. 1 SVG sind Signale und Markierungen sowie die Weisungen der Polizei zu befolgen. Die Signale und Markierungen gehen den allgemeinen Regeln, die Weisungen der Polizei gehen den allgemeinen Regeln, Signalen und Markierungen vor. Wer zur Gewährung des Vortritts verpflichtet ist, darf den Vortrittsberechtigten in seiner Fahrt nicht behindern. Er hat seine Geschwindigkeit frühzeitig zu mässigen und, wenn er warten muss, vor Beginn der Verzweigung zu halten (Art. 14 Abs. 1 VRV). Vor der Einfahrt in einen Kreisverkehrsplatz muss der Führer die Geschwindigkeit mässigen und den im Kreis von links herannahenden Fahrzeugen den Vortritt lassen (Art. 41b Abs. 1 VRV). Das Signal "Kreisverkehrsplatz" zeigt bei kreisförmigen Plätzen die Richtung an, die der Verkehr im Kreis einzuhalten hat; es steht vor der Einfahrt unter dem Signal "Kein Vortritt" und kann auf der Mittelinsel wiederholt werden. In Verbindung mit dem Signal "Kreisverkehrsplatz" zeigt das Signal "Kein Vortritt" dem Führer an, dass er den im Kreis von links herannahenden Fahrzeugen den Vortritt lassen muss (Art. 24 Abs. 4 SSV).</w:t>
      </w:r>
    </w:p>
    <w:p>
      <w:r>
        <w:rPr>
          <w:b/>
        </w:rPr>
        <w:t>E. 3.3</w:t>
      </w:r>
    </w:p>
    <w:p>
      <w:r>
        <w:t>Gemäss Strafbefehl vom 14. Oktober 2021 hat sich der Beschwerdeführer einer Verletzung der Verkehrsregeln wegen Nichtgewährens des Vortritts im Kreis schuldig gemacht. Die Beschwerdegegnerin hat den Beschwerdeführer darauf aufmerksam gemacht, dass sie sich auf den Strafentscheid stützen wird und er sich, falls er mit den Vorwürfen, welche ihm gemacht werden, nicht einverstanden ist, sich bereits im Strafverfahren wehren müsse. Der Strafbefehl erwuchs in Rechtskraft und es ist vorliegend auf die Feststellungen im Strafbefehl abzustellen. Demgemäss ist in tatsächlicher Hinsicht davon auszugehen, dass der Beschwerdeführer beim Einfahren in den Kreisverkehr den Vortritt des Motorradfahrers missachtet hat. Im Übrigen ergeben sich weder aus den Vorbringen des Beschwerdeführers noch sonst aus den Akten Zweifel an dem im Strafbefehl festgehaltenen relevanten Sachverhalt. Zudem wäre es auch unerheblich, ob der Beschwerdeführer sein Fahrzeug zum Zeitpunkt der Kollision schon zum Stillstand gebracht hat oder nicht, da die Kollision jedenfalls auf eine Missachtung des Vortrittsrechts durch den Beschwerdeführer zurückzuführen ist.</w:t>
      </w:r>
    </w:p>
    <w:p>
      <w:r>
        <w:rPr>
          <w:b/>
        </w:rPr>
        <w:t>E. 3.4</w:t>
      </w:r>
    </w:p>
    <w:p>
      <w:r>
        <w:t>Bei der Kollision im Bereich des linken vorderen Kotflügels des Personenwagens und des Anhängers des Motorfahrzeugs wurde der Postbote leicht verletzt und beide Fahrzeuge wurden beschädigt. Die vom Beschwerdeführer vorliegend geschaffene konkrete Gefahr für Dritte hat sich also in einem Personenschaden und Sachschaden manifestiert und kann somit nicht mehr als leicht eingestuft werden (BGE 135 II 138 E. 2.3). Die Annahme einer leichten Widerhandlung gemäss Art. 16a Abs. 1 lit. a SVG ist deshalb ausgeschlossen.</w:t>
      </w:r>
    </w:p>
    <w:p>
      <w:r>
        <w:rPr>
          <w:b/>
        </w:rPr>
        <w:t>E. 3.5</w:t>
      </w:r>
    </w:p>
    <w:p>
      <w:r>
        <w:t>Ob der Motorradfahrer die Geschwindigkeit im Kreisel hätte reduzieren müssen, ist für die Kategorisierung der Widerhandlung als leicht oder mittelschwer ebenfalls nicht von Belang, da das Administrativmassnahmenrecht ebenso wie das Strafrecht keine Verschuldenskompensation kennt (vgl. VGr, 8. September 2010, VB.2010.00325, E. 4.4; BGr, 6. Februar 2008, 6B_377/2007, E. 2.3). Ein eventuelles Mitverschulden des Motorradfahrers ändert jedenfalls nichts daran, dass den Beschwerdeführer ein zumindest leichtes Verschulden trifft.</w:t>
      </w:r>
    </w:p>
    <w:p>
      <w:r>
        <w:rPr>
          <w:b/>
        </w:rPr>
        <w:t>E. 4.1</w:t>
      </w:r>
    </w:p>
    <w:p>
      <w:r>
        <w:t>Nach einer mittelschweren Widerhandlung wird der Lernfahr- oder Führerausweis für mindestens einen Monat entzogen (Art. 16b Abs. 2 lit. a SVG). Bei dieser Entzugsdauer handelt es sich um eine Mindestentzugsdauer, die nach dem Willen des Gesetzgebers und der Rechtsprechung nicht unterschritten werden darf (Art. 16 Abs. 3 SVG; BGE 135 II 334 E. 2.2). Nachdem es die Beschwerdegegnerin bei der gesetzlichen Mindestentzugsdauer von einem Monat belassen hat, besteht kein Raum für eine mildere Sanktion.</w:t>
      </w:r>
    </w:p>
    <w:p>
      <w:r>
        <w:rPr>
          <w:b/>
        </w:rPr>
        <w:t>E. 4.2</w:t>
      </w:r>
    </w:p>
    <w:p>
      <w:r>
        <w:t>Zusammenfassend erweisen sich die Rügen des Beschwerdeführers als unbegründet und der angeordnete Führerausweisentzug von einem Monat als verhältnismässig und rechtmässig. Die Vorinstanz hat die angefochtene Verfügung zu Recht bestätigt. Dies führt zur Abweisung der Beschwerde.</w:t>
      </w:r>
    </w:p>
    <w:p>
      <w:r>
        <w:rPr>
          <w:b/>
        </w:rPr>
        <w:t>E. 5</w:t>
      </w:r>
    </w:p>
    <w:p>
      <w:r>
        <w:t>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