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VB.2022.00285 vom 5. Juni 2019</w:t>
      </w:r>
    </w:p>
    <w:p>
      <w:r>
        <w:t>ZH Verwaltungsgericht, 2019-06-05, DE</w:t>
      </w:r>
    </w:p>
    <w:p>
      <w:r>
        <w:rPr>
          <w:b/>
        </w:rPr>
        <w:t xml:space="preserve">Quelle: </w:t>
      </w:r>
      <w:r>
        <w:t>https://mcp.opencaselaw.ch/entscheid/zh_verwaltungsgericht__VB.2022.00285</w:t>
      </w:r>
    </w:p>
    <w:p>
      <w:r>
        <w:t>FR: ZH_VERWALTUNGSGERICHT VB.2022.00285 du 5 juin 2019</w:t>
      </w:r>
    </w:p>
    <w:p>
      <w:r>
        <w:t>IT: ZH_VERWALTUNGSGERICHT VB.2022.00285 del 5 giugno 2019</w:t>
      </w:r>
    </w:p>
    <w:p>
      <w:pPr>
        <w:pStyle w:val="Heading2"/>
      </w:pPr>
      <w:r>
        <w:t>Regeste</w:t>
      </w:r>
    </w:p>
    <w:p>
      <w:r>
        <w:t>Covid-19-Härtefallprogramm; 2. Zuteilungsrunde | [Die Beschwerdeführerin liess sich am 5. Juni 2019 ins Handelsregister eintragen und bezweckt den Betrieb eines Restaurants. Ihr Restaurant eröffnete sie jedoch erst am 29. November 2019. Der Beschwerdegegner berücksichtigte für den Umsatzrückgang den auf 12 Monate hochgerechneten Umsatz zwischen dem 5. Juni 2019 und dem 29. Februar 2020, während die Beschwerdeführerin auf den auf 12 Monate berechneten Umsatz ab der Eröffnung des Restaurants abstellen will.] Lässt sich genau bestimmen, wann die Geschäftstätigkeit aufgenommen wurde, und gibt es objektive Gründe dafür, dass die Geschäftstätigkeit erst längere Zeit nach der formellen Gründung aufgenommen wurde, ist es nicht gerechtfertigt, für die Umsatzberechnung auf den Zeitpunkt der formellen Gründung abzustellen. Massgebend ist vielmehr der ab der Geschäftsaufnahme erzielte Umsatz, berechnet auf zwölf Monate (E. 5). Teilweise Gutheissung. Rückweisung an den Beschwerdegegner.</w:t>
      </w:r>
    </w:p>
    <w:p>
      <w:pPr>
        <w:pStyle w:val="Heading2"/>
      </w:pPr>
      <w:r>
        <w:t>Erwägungen</w:t>
      </w:r>
    </w:p>
    <w:p>
      <w:r>
        <w:rPr>
          <w:b/>
        </w:rPr>
        <w:t>E. 4</w:t>
      </w:r>
    </w:p>
    <w:p>
      <w:r>
        <w:t>Weder die bundesrechtliche Gesetzgebung noch das kantonale Recht räumen einen Anspruch auf Covid-19-Härtefallhilfe ein. Bei den Covid-19-Härtefallbeiträgen, die im Rahmen des Covid-19-Härtefallprogramms des Kantons Zürich ausbezahlt werden, handelt es sich folglich um Subventionen im Sinn von § 3 des Staatsbeitragsgesetzes (VGr, 1. September 2022, VB.2022.00134, E. 4.2).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w:t>
      </w:r>
    </w:p>
    <w:p>
      <w:r>
        <w:rPr>
          <w:b/>
        </w:rPr>
        <w:t>E. 5.1</w:t>
      </w:r>
    </w:p>
    <w:p>
      <w:r>
        <w:t>Die nicht rückzahlbaren Beiträge, welche an Unternehmen ausgerichtet werden, belaufen sich auf höchstens 20 Prozent des durchschnittlichen Jahresumsatzes der Jahre 2018 und 2019 (Art. 8 Abs. 2 HFMV in der vom 1. Dezember 2020 bis zum 31. März 2021 geltenden Fassung). Für Unternehmen, die nach dem 31. Dezember 2017 gegründet wurden und damit keine zwei vollen Umsatzjahre vor der Covid-19-Pandemie aufwiesen, sah die Covid-19-Härtefallverordnung 2020 eine andere Berechnungsart der maximalen Beiträge vor. Namentlich war gemäss Art. 3 Abs. 2 HFMV 20 in der vom 1. Dezember 2020 bis zum 31. März 2021 geltenden Fassung für Unternehmen, die nach dem 31. Dezember 2017 gegründet worden sind, der durchschnittliche Umsatz, der zwischen dem 1. Januar 2018 und dem 29. Februar 2020 erzielt wurde, berechnet auf zwölf Monate, massgebend (AS 2020 4920).</w:t>
      </w:r>
    </w:p>
    <w:p>
      <w:r>
        <w:rPr>
          <w:b/>
        </w:rPr>
        <w:t>E. 5.2</w:t>
      </w:r>
    </w:p>
    <w:p>
      <w:r>
        <w:t>Strittig ist, welcher Zeitraum für die Berechnung des massgebenden durchschnittlichen Jahresumsatzes herangezogen werden muss. Die Beschwerdeführerin rügt, die Vorinstanz habe Art. 3 Abs. 2 HFMV unrichtig angewendet, indem sie befand, der auf ein Jahr hochgerechnete Umsatz zwischen der Gründung und dem 29. Februar 2020 sei für die Berechnung der Höhe des Maximums der Härtefallbeiträge massgebend. Sie bringt vor, die Maximalhöhe der Härtefallbeiträge hätte aufgrund des auf ein Jahr hochgerechneten Umsatzes zwischen der Aufnahme der Geschäftstätigkeit und dem 29. Februar 2020 berechnet werden müssen.</w:t>
      </w:r>
    </w:p>
    <w:p>
      <w:r>
        <w:rPr>
          <w:b/>
        </w:rPr>
        <w:t>E. 5.3</w:t>
      </w:r>
    </w:p>
    <w:p>
      <w:r>
        <w:t>Das Verwaltungsgericht entschied bereits in Fällen von Unternehmen, die zwar vor dem 31. Dezember 2017 ins Handelsregister eingetragen wurden, ihre Geschäftstätigkeit aber erst danach aufnahmen, dass für die Beurteilung der Frage, ob ein Umsatzrückgang von mindestens 40 % vorliegt, der ab Aufnahme der Geschäftstätigkeit erzielte Umsatz massgebend ist. Dasselbe muss auch für die Frage der Höhe des massgeblichen Umsatzes für die Berechnung der maximal zuzusprechenden Beiträge gelten. Auch vorliegend führte die Nichtberücksichtigung des Umstands, dass die Beschwerdeführerin ihre Geschäftstätigkeit erst am 29. November 2019 aufgenommen hat, zu einer rechtsungleichen Behandlung der Beschwerdeführerin sowohl gegenüber Konkurrenzbetrieben, welche ihr Restaurant vor dem 1. Januar 2018 eröffneten, als auch gegenüber solchen, die die Gründung einer Gesellschaft erst unmittelbar vor der Eröffnung des Restaurants vornahmen (vgl. zum Ganzen auch VGr, 1. September 2022, VB.2022.00134, E. 6.2.5; 14. Juli 2022, VB.2022.00068, E. 4.3.3). Ziel des Gesetz- und Verordnungsgebers war es, eine differenzierte Härtefalllösung zu schaffen, um möglichst allen direkt betroffenen (überlebensfähigen) Unternehmen zu helfen und so gefährdete Arbeitsplätze in der Schweiz zu erhalten (vgl. Erläuterungen HFMV 20, S. 6; VGr, 14. Juli 2022, VB.2022.00068, E. 4.3.2; VGr, 1. September 2022, VB.2022.00134, E. 6.2.1). Differenzierungen zulasten von jungen Unternehmen, wie sie die Nichtberücksichtigung der faktischen Aufnahme der Geschäftstätigkeit zu Folge hätte, entsprechen dagegen nicht dem Willen des Gesetzgebers. Nur der nach der Aufnahme der Geschäftstätigkeit erzielte Umsatz ist repräsentativ für ihren (hypothetischen) Umsatz in den Folgejahren (vgl. VGr, 1. September 2022, VB.2022.00134, E. 6.2.4).</w:t>
      </w:r>
    </w:p>
    <w:p>
      <w:r>
        <w:rPr>
          <w:b/>
        </w:rPr>
        <w:t>E. 5.4</w:t>
      </w:r>
    </w:p>
    <w:p>
      <w:r>
        <w:t>Lässt sich genau bestimmen, wann die Geschäftstätigkeit aufgenommen wurde, und gibt es objektive Gründe dafür, dass die Geschäftstätigkeit erst längere Zeit nach der formellen Gründung aufgenommen wurde, scheint es nicht gerechtfertigt, aus Praktikabilitätsgründen bei der Umsatzberechnung auf die formelle Gründung anstatt auf die Aufnahme der Geschäftstätigkeit abzustellen (vgl. VGr, 1. September 2022, VB.2022.00134, E. 6.2.5). Insgesamt ergibt sich, dass Art. 3 Abs. 2 HFMV 20 (AS 2020 4920 und AS 2021 184 S. 2) so zu verstehen ist, dass ein Unternehmen, welches nach dem 1. Januar 2018 gegründet wurde und seine Geschäftstätigkeit erst längere Zeit nach der Gründung aufgenommen hat, für die Berechnung des Umsatzrückgangs seinen ab Aufnahme der Geschäftstätigkeit generierten Umsatz auf zwölf Monate hochrechnen kann (vgl. auch VGr, 1. September 2022, VB.2022.00134, E. 6.3; 14. Juli 2022, VB.2022.00068, E. 4.4).</w:t>
      </w:r>
    </w:p>
    <w:p>
      <w:r>
        <w:rPr>
          <w:b/>
        </w:rPr>
        <w:t>E. 5.5</w:t>
      </w:r>
    </w:p>
    <w:p>
      <w:r>
        <w:t>Die Beschwerdeführerin nahm die Geschäftstätigkeit fast sechs Monate nach ihrer formellen Gründung auf. Ab der Eröffnung ihres Restaurants am 29. November 2019 generierte sie nach eigener Angabe bis zum 29. Februar 2020 einen Umsatz von insgesamt Fr. 491'337.13, während sie davor keinen Umsatz erzielte. Wird auf den von der Beschwerdeführerin seit der Gründung bis zum 29. Februar 2020 insgesamt erzielten Umsatz abgestellt und dieser auf ein Jahr hochgerechnet, lässt sich keine zuverlässige Aussage über den tatsächlichen Umsatzrückgang - der die Maximalhöhe der Beiträge bestimmt - machen. Wird hingegen nur der Umsatz der Beschwerdeführerin ab dem 29. November 2019 berücksichtigt, erscheint der resultierende Umsatzrückgang deutlich realistischer.</w:t>
      </w:r>
    </w:p>
    <w:p>
      <w:r>
        <w:rPr>
          <w:b/>
        </w:rPr>
        <w:t>E. 5.6</w:t>
      </w:r>
    </w:p>
    <w:p>
      <w:r>
        <w:t>Aus dem Gesagten ergibt sich, dass der durchschnittliche Jahresumsatz der Beschwerdeführerin im Sinn von Art. 8 Abs. 2 HFMV in der vom 1. Dezember 2020 bis zum 31. März 2021 geltenden Fassung dem ab Eröffnung des Restaurants am 29. November 2019 bis zum 29. Februar 2020 erzielten Umsatz, hochgerechnet auf ein Jahr, entspricht. Indem die Finanzdirektion von einem falschen Maximalbetrag ausging, übte sie ihr Ermessen rechtsfehlerhaft aus.</w:t>
      </w:r>
    </w:p>
    <w:p>
      <w:r>
        <w:rPr>
          <w:b/>
        </w:rPr>
        <w:t>E. 6</w:t>
      </w:r>
    </w:p>
    <w:p>
      <w:r>
        <w:t>Nach dem Gesagten ist die Beschwerde teilweise gutzuheissen und die Angelegenheit zum Neuentscheid an die Finanzdirektion zurückzuweisen. Über den die bereits zugesprochenen Beiträge übersteigenden Betrag hat der Beschwerdegegner neu zu entscheiden.</w:t>
      </w:r>
    </w:p>
    <w:p>
      <w:r>
        <w:rPr>
          <w:b/>
        </w:rPr>
        <w:t>E. 7</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Die Kosten des Rekurs- und Beschwerdeverfahrens sind somit dem unterliegenden Beschwerdegegner aufzuerlegen (§ 13 Abs. 2 Satz 1 VRG, teilweise in Verbindung mit § 65a Abs. 2 VRG). Desgleichen hat dieser der Beschwerdeführerin antragsgemäss eine angemessene Parteientschädigung für das Beschwerdeverfahren zu bezahlen (§ 17 VRG).</w:t>
      </w:r>
    </w:p>
    <w:p>
      <w:r>
        <w:rPr>
          <w:b/>
        </w:rPr>
        <w:t>E. 8</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