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VB.2022.00274 vom 16. März 2021</w:t>
      </w:r>
    </w:p>
    <w:p>
      <w:r>
        <w:t>ZH Verwaltungsgericht, 2021-03-16, DE</w:t>
      </w:r>
    </w:p>
    <w:p>
      <w:r>
        <w:rPr>
          <w:b/>
        </w:rPr>
        <w:t xml:space="preserve">Quelle: </w:t>
      </w:r>
      <w:r>
        <w:t>https://mcp.opencaselaw.ch/entscheid/zh_verwaltungsgericht__VB.2022.00274</w:t>
      </w:r>
    </w:p>
    <w:p>
      <w:r>
        <w:t>FR: ZH_VERWALTUNGSGERICHT VB.2022.00274 du 16 mars 2021</w:t>
      </w:r>
    </w:p>
    <w:p>
      <w:r>
        <w:t>IT: ZH_VERWALTUNGSGERICHT VB.2022.00274 del 16 marzo 2021</w:t>
      </w:r>
    </w:p>
    <w:p>
      <w:pPr>
        <w:pStyle w:val="Heading2"/>
      </w:pPr>
      <w:r>
        <w:t>Regeste</w:t>
      </w:r>
    </w:p>
    <w:p>
      <w:r>
        <w:t>Covid-19-Härtefallprogramm; 2. Zuteilungsrunde (Nebenfolgen) | Nichteintreten infolge Kautionssäumnis.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der Anfechtung von Kostenentscheiden richtet sich der Rechtsmittelweg nach der Hauptsache. Da es hier in der Hauptsache um die Zusprechung einer Subvention ging, steht die Beschwerde in öffentlich-rechtlichen Angelegenheiten gemäss Art. 82 ff. des Bundesgerichtsgesetzes vom 17. Juni 2005 (BGG, SR 173.110) nur offen, wenn ein Anspruch auf die Subvention besteht (Art. 83 lit. k BGG). Ansonsten kann subsidiäre Verfassungsbeschwerde gemäss Art. 113 ff. BGG erhoben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